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r>
        <w:rPr>
          <w:rFonts w:eastAsia="黑体"/>
          <w:b/>
          <w:color w:val="000000" w:themeColor="text1"/>
          <w:sz w:val="36"/>
          <w:szCs w:val="30"/>
          <w14:textFill>
            <w14:solidFill>
              <w14:schemeClr w14:val="tx1"/>
            </w14:solidFill>
          </w14:textFill>
        </w:rPr>
        <w:t>高等学校实验室安全检查项目表（2023</w:t>
      </w:r>
      <w:r>
        <w:rPr>
          <w:rFonts w:hint="eastAsia" w:eastAsia="黑体"/>
          <w:b/>
          <w:color w:val="000000" w:themeColor="text1"/>
          <w:sz w:val="36"/>
          <w:szCs w:val="30"/>
          <w14:textFill>
            <w14:solidFill>
              <w14:schemeClr w14:val="tx1"/>
            </w14:solidFill>
          </w14:textFill>
        </w:rPr>
        <w:t>年</w:t>
      </w:r>
      <w:r>
        <w:rPr>
          <w:rFonts w:eastAsia="黑体"/>
          <w:b/>
          <w:color w:val="000000" w:themeColor="text1"/>
          <w:sz w:val="36"/>
          <w:szCs w:val="30"/>
          <w14:textFill>
            <w14:solidFill>
              <w14:schemeClr w14:val="tx1"/>
            </w14:solidFill>
          </w14:textFill>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48" w:type="dxa"/>
            <w:tcMar>
              <w:left w:w="45" w:type="dxa"/>
              <w:right w:w="45" w:type="dxa"/>
            </w:tcMar>
            <w:vAlign w:val="center"/>
          </w:tcPr>
          <w:p>
            <w:pPr>
              <w:spacing w:line="300" w:lineRule="exact"/>
              <w:rPr>
                <w:rFonts w:hint="eastAsia" w:ascii="宋体" w:hAnsi="宋体" w:eastAsia="宋体" w:cs="宋体"/>
                <w:b/>
                <w:bCs/>
                <w:kern w:val="0"/>
                <w:szCs w:val="21"/>
              </w:rPr>
            </w:pPr>
            <w:r>
              <w:rPr>
                <w:rFonts w:hint="eastAsia" w:ascii="宋体" w:hAnsi="宋体" w:eastAsia="宋体" w:cs="宋体"/>
                <w:b/>
                <w:bCs/>
                <w:kern w:val="0"/>
                <w:szCs w:val="21"/>
              </w:rPr>
              <w:t>序号</w:t>
            </w:r>
          </w:p>
        </w:tc>
        <w:tc>
          <w:tcPr>
            <w:tcW w:w="3820" w:type="dxa"/>
            <w:tcMar>
              <w:left w:w="45" w:type="dxa"/>
              <w:right w:w="45" w:type="dxa"/>
            </w:tcMar>
            <w:vAlign w:val="center"/>
          </w:tcPr>
          <w:p>
            <w:pPr>
              <w:spacing w:line="300" w:lineRule="exact"/>
              <w:rPr>
                <w:rFonts w:hint="eastAsia" w:ascii="宋体" w:hAnsi="宋体" w:eastAsia="宋体" w:cs="宋体"/>
                <w:b/>
                <w:bCs/>
                <w:kern w:val="0"/>
                <w:szCs w:val="21"/>
              </w:rPr>
            </w:pPr>
            <w:r>
              <w:rPr>
                <w:rFonts w:hint="eastAsia" w:ascii="宋体" w:hAnsi="宋体" w:eastAsia="宋体" w:cs="宋体"/>
                <w:b/>
                <w:bCs/>
                <w:kern w:val="0"/>
                <w:szCs w:val="21"/>
              </w:rPr>
              <w:t>检查项目</w:t>
            </w:r>
          </w:p>
        </w:tc>
        <w:tc>
          <w:tcPr>
            <w:tcW w:w="7660" w:type="dxa"/>
            <w:tcMar>
              <w:left w:w="45" w:type="dxa"/>
              <w:right w:w="45" w:type="dxa"/>
            </w:tcMar>
            <w:vAlign w:val="center"/>
          </w:tcPr>
          <w:p>
            <w:pPr>
              <w:spacing w:line="300" w:lineRule="exact"/>
              <w:rPr>
                <w:rFonts w:hint="eastAsia" w:ascii="宋体" w:hAnsi="宋体" w:eastAsia="宋体" w:cs="宋体"/>
                <w:b/>
                <w:bCs/>
                <w:kern w:val="0"/>
                <w:szCs w:val="21"/>
              </w:rPr>
            </w:pPr>
            <w:r>
              <w:rPr>
                <w:rFonts w:hint="eastAsia" w:ascii="宋体" w:hAnsi="宋体" w:eastAsia="宋体" w:cs="宋体"/>
                <w:b/>
                <w:bCs/>
                <w:kern w:val="0"/>
                <w:szCs w:val="21"/>
              </w:rPr>
              <w:t>检查要点</w:t>
            </w:r>
          </w:p>
        </w:tc>
        <w:tc>
          <w:tcPr>
            <w:tcW w:w="2543" w:type="dxa"/>
            <w:tcMar>
              <w:left w:w="45" w:type="dxa"/>
              <w:right w:w="45" w:type="dxa"/>
            </w:tcMar>
            <w:vAlign w:val="center"/>
          </w:tcPr>
          <w:p>
            <w:pPr>
              <w:spacing w:line="300" w:lineRule="exact"/>
              <w:rPr>
                <w:rFonts w:hint="eastAsia" w:ascii="宋体" w:hAnsi="宋体" w:eastAsia="宋体" w:cs="宋体"/>
                <w:b/>
                <w:bCs/>
                <w:kern w:val="0"/>
                <w:szCs w:val="21"/>
              </w:rPr>
            </w:pPr>
            <w:r>
              <w:rPr>
                <w:rFonts w:hint="eastAsia" w:ascii="宋体" w:hAnsi="宋体" w:eastAsia="宋体" w:cs="宋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1.1.1</w:t>
            </w:r>
          </w:p>
        </w:tc>
        <w:tc>
          <w:tcPr>
            <w:tcW w:w="3820"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kern w:val="0"/>
                <w:szCs w:val="21"/>
              </w:rPr>
              <w:t>实验室安全工作纳入学校决策研究事项</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（1）有学校相关会议（校务会议、党委常委会会议等）纪要，内容包含实验室安全工作。</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1.1.2</w:t>
            </w:r>
          </w:p>
        </w:tc>
        <w:tc>
          <w:tcPr>
            <w:tcW w:w="3820"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kern w:val="0"/>
                <w:szCs w:val="21"/>
              </w:rPr>
              <w:t>有校级实验室安全工作责任人与领导机构</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有校级正式发文，明确学校党政主要负责人是第一责任人；分管实验室安全工作的校领导是重要领导责任人，协助第一责任人负责实验室安全工作；其他校领导在分管工作范围内对实验室安全工作负有支持、监督和指导职责；设立校级领导机构，明确其部门组成和工作职责，分管实验室安全工作的校领导为该机构负责人。</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有明确的实验室安全管理职能部门</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1.1.4</w:t>
            </w:r>
          </w:p>
        </w:tc>
        <w:tc>
          <w:tcPr>
            <w:tcW w:w="382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学校与院系签订实验室安全责任书</w:t>
            </w:r>
          </w:p>
        </w:tc>
        <w:tc>
          <w:tcPr>
            <w:tcW w:w="766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（4）档案或信息系统里有现任学校领导与院系负责人签字盖章的安全责任书。</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有院系实验室安全工作队伍</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（5）院系安全工作队伍由党政负责人、分管实验室安全领导、院系实验室安全助理或安全主管、实验室负责人、实验室安全员等共同组成。</w:t>
            </w:r>
          </w:p>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（6）有带文号的院系文件如党政联席会/办公会等纪要、通知或制度等明确其内容。</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院系签订实验室安全责任书</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（7）院系签订责任书到实验房间安全责任人。</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1.3</w:t>
            </w:r>
          </w:p>
        </w:tc>
        <w:tc>
          <w:tcPr>
            <w:tcW w:w="14023" w:type="dxa"/>
            <w:gridSpan w:val="3"/>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
                <w:kern w:val="0"/>
                <w:szCs w:val="21"/>
              </w:rPr>
              <w:t>实验室层面安全责任体系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明确实验室层面各级责任人及其职责</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实验室负责人是本实验室安全工作的直接责任人，应严格落实实验室安全准入、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日常安全管理。</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实验室签订实验室安全责任书</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（9）实验室负责人与相关实验人员签订实验室安全责任书。</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1.4</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kern w:val="0"/>
                <w:szCs w:val="21"/>
              </w:rPr>
              <w:t>安全工作奖惩机制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奖惩机制落实到岗位或个人</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（10）是否有明确的奖惩管理办法，以及实际执行情况。</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依法依规进行事故调查和责任追究</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（11）检查事故调查执行情况。</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1.5</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1.5.1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学校每年有实验室安全常规经费预算</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（12）学校职能部门有预算审批凭据证明有专款用于实验室安全工作。</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1.5.2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（13）学校职能部门有支出凭据证明有专款用于实验室安全工作，尤其是用于重大安全隐患整改项目。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1.5.3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bCs/>
                <w:kern w:val="0"/>
                <w:szCs w:val="21"/>
              </w:rPr>
              <w:t>（14）院系有支出凭据证明有专款用于实验室安全工作。</w:t>
            </w:r>
          </w:p>
        </w:tc>
        <w:tc>
          <w:tcPr>
            <w:tcW w:w="2543" w:type="dxa"/>
            <w:tcMar>
              <w:left w:w="45" w:type="dxa"/>
              <w:right w:w="45" w:type="dxa"/>
            </w:tcMar>
            <w:vAlign w:val="center"/>
          </w:tcPr>
          <w:p>
            <w:pPr>
              <w:widowControl/>
              <w:spacing w:line="300" w:lineRule="exac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1.6</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1.6.1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kern w:val="0"/>
                <w:szCs w:val="21"/>
              </w:rPr>
              <w:t>（15）有重要危险源，即</w:t>
            </w:r>
            <w:r>
              <w:rPr>
                <w:rFonts w:hint="eastAsia" w:ascii="宋体" w:hAnsi="宋体" w:eastAsia="宋体" w:cs="宋体"/>
                <w:szCs w:val="21"/>
              </w:rPr>
              <w:t>有毒有害（剧毒、易制爆、易制毒、爆炸品等）化学品、危险（易燃、易爆、有毒、窒息、高压等）气体、动物及病原微生物、辐射源及射线装置、同位素及核材料、危险性机械加工装置、强电强磁与激光设备、特种设备等</w:t>
            </w:r>
            <w:r>
              <w:rPr>
                <w:rFonts w:hint="eastAsia" w:ascii="宋体" w:hAnsi="宋体" w:eastAsia="宋体" w:cs="宋体"/>
                <w:kern w:val="0"/>
                <w:szCs w:val="21"/>
              </w:rPr>
              <w:t>的高校应依据工作量，在校级管理机构配备足够的专职实验室安全管理人员。</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（16）有重要危险源的院系应依据工作量配备专职实验室安全管理人员；文、管、艺术类、数学及信息等相关院系配备兼职实验室安全管理人员。</w:t>
            </w:r>
          </w:p>
        </w:tc>
        <w:tc>
          <w:tcPr>
            <w:tcW w:w="2543" w:type="dxa"/>
            <w:tcMar>
              <w:left w:w="45" w:type="dxa"/>
              <w:right w:w="45" w:type="dxa"/>
            </w:tcMar>
            <w:vAlign w:val="center"/>
          </w:tcPr>
          <w:p>
            <w:pPr>
              <w:widowControl/>
              <w:spacing w:line="300" w:lineRule="exac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1.6.2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（17）有文件证明学校设立了</w:t>
            </w:r>
            <w:r>
              <w:rPr>
                <w:rFonts w:hint="eastAsia" w:ascii="宋体" w:hAnsi="宋体" w:eastAsia="宋体" w:cs="宋体"/>
                <w:kern w:val="0"/>
                <w:szCs w:val="21"/>
              </w:rPr>
              <w:t>检查队伍，并有</w:t>
            </w:r>
            <w:r>
              <w:rPr>
                <w:rFonts w:hint="eastAsia" w:ascii="宋体" w:hAnsi="宋体" w:eastAsia="宋体" w:cs="宋体"/>
                <w:bCs/>
                <w:kern w:val="0"/>
                <w:szCs w:val="21"/>
              </w:rPr>
              <w:t>工作记录。</w:t>
            </w:r>
          </w:p>
        </w:tc>
        <w:tc>
          <w:tcPr>
            <w:tcW w:w="2543" w:type="dxa"/>
            <w:tcMar>
              <w:left w:w="45" w:type="dxa"/>
              <w:right w:w="45" w:type="dxa"/>
            </w:tcMar>
            <w:vAlign w:val="center"/>
          </w:tcPr>
          <w:p>
            <w:pPr>
              <w:widowControl/>
              <w:spacing w:line="300" w:lineRule="exac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1.6.3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（18）有培训记录（证书、电子文档、书面记录）等证明培训及合格情况。</w:t>
            </w:r>
          </w:p>
        </w:tc>
        <w:tc>
          <w:tcPr>
            <w:tcW w:w="2543" w:type="dxa"/>
            <w:tcMar>
              <w:left w:w="45" w:type="dxa"/>
              <w:right w:w="45" w:type="dxa"/>
            </w:tcMar>
            <w:vAlign w:val="center"/>
          </w:tcPr>
          <w:p>
            <w:pPr>
              <w:widowControl/>
              <w:spacing w:line="300" w:lineRule="exac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1.7</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1.7.1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采用信息化手段管理实验室安全</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（19）学校建设信息管理等系统用于实验室安全管理。</w:t>
            </w:r>
          </w:p>
        </w:tc>
        <w:tc>
          <w:tcPr>
            <w:tcW w:w="2543" w:type="dxa"/>
            <w:tcMar>
              <w:left w:w="45" w:type="dxa"/>
              <w:right w:w="45" w:type="dxa"/>
            </w:tcMar>
            <w:vAlign w:val="center"/>
          </w:tcPr>
          <w:p>
            <w:pPr>
              <w:widowControl/>
              <w:spacing w:line="300" w:lineRule="exac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1.7.2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建立实验室安全工作档案</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（20）包括责任体系、队伍建设、安全制度、奖惩、教育培训、安全检查、隐患整改、事故调查与处理、专业安全、其他相关的常规或阶段性工作等，且档案分类科学合理，便于查找。</w:t>
            </w:r>
          </w:p>
        </w:tc>
        <w:tc>
          <w:tcPr>
            <w:tcW w:w="2543" w:type="dxa"/>
            <w:tcMar>
              <w:left w:w="45" w:type="dxa"/>
              <w:right w:w="45" w:type="dxa"/>
            </w:tcMar>
            <w:vAlign w:val="center"/>
          </w:tcPr>
          <w:p>
            <w:pPr>
              <w:widowControl/>
              <w:spacing w:line="300" w:lineRule="exac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2.1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2.1.1</w:t>
            </w:r>
          </w:p>
        </w:tc>
        <w:tc>
          <w:tcPr>
            <w:tcW w:w="382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学校和院系应有正式发文的实验室安全管理制度</w:t>
            </w:r>
          </w:p>
        </w:tc>
        <w:tc>
          <w:tcPr>
            <w:tcW w:w="7660" w:type="dxa"/>
            <w:tcMar>
              <w:left w:w="45" w:type="dxa"/>
              <w:right w:w="45" w:type="dxa"/>
            </w:tcMar>
            <w:vAlign w:val="center"/>
          </w:tcPr>
          <w:p>
            <w:pPr>
              <w:spacing w:line="300" w:lineRule="exact"/>
              <w:rPr>
                <w:rFonts w:hint="eastAsia" w:ascii="宋体" w:hAnsi="宋体" w:eastAsia="宋体" w:cs="宋体"/>
                <w:bCs/>
                <w:kern w:val="0"/>
                <w:szCs w:val="21"/>
              </w:rPr>
            </w:pPr>
            <w:r>
              <w:rPr>
                <w:rFonts w:hint="eastAsia" w:ascii="宋体" w:hAnsi="宋体" w:eastAsia="宋体" w:cs="宋体"/>
                <w:bCs/>
                <w:kern w:val="0"/>
                <w:szCs w:val="21"/>
              </w:rPr>
              <w:t>（21）有正式发文的实验室安全管理制度，内容包括上位法依据、实验室范围、安全管理原则、组织架构、责任体系、奖惩、事故处理、责任与追究、安全文化等要素。</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2.2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实验室安全管理办法或细则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2.2.1</w:t>
            </w:r>
          </w:p>
        </w:tc>
        <w:tc>
          <w:tcPr>
            <w:tcW w:w="382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有正式发文的实验室安全管理办法或细则</w:t>
            </w:r>
          </w:p>
        </w:tc>
        <w:tc>
          <w:tcPr>
            <w:tcW w:w="7660" w:type="dxa"/>
            <w:tcMar>
              <w:left w:w="45" w:type="dxa"/>
              <w:right w:w="45" w:type="dxa"/>
            </w:tcMar>
            <w:vAlign w:val="center"/>
          </w:tcPr>
          <w:p>
            <w:pPr>
              <w:spacing w:line="300" w:lineRule="exact"/>
              <w:rPr>
                <w:rFonts w:hint="eastAsia" w:ascii="宋体" w:hAnsi="宋体" w:eastAsia="宋体" w:cs="宋体"/>
                <w:bCs/>
                <w:kern w:val="0"/>
                <w:szCs w:val="21"/>
              </w:rPr>
            </w:pPr>
            <w:r>
              <w:rPr>
                <w:rFonts w:hint="eastAsia" w:ascii="宋体" w:hAnsi="宋体" w:eastAsia="宋体" w:cs="宋体"/>
                <w:bCs/>
                <w:kern w:val="0"/>
                <w:szCs w:val="21"/>
              </w:rPr>
              <w:t>（22）依据危险源情况制定实验室分类分级、准入管理、安全检查，以及各类安全等二级管理办法，文件应具有可操作性或实际管理效用，及时修订更新，并正式发文。</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2.3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安全应急制度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2.3.1</w:t>
            </w:r>
          </w:p>
        </w:tc>
        <w:tc>
          <w:tcPr>
            <w:tcW w:w="382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学校、院系、实验室有相应的应急预案</w:t>
            </w:r>
          </w:p>
        </w:tc>
        <w:tc>
          <w:tcPr>
            <w:tcW w:w="7660" w:type="dxa"/>
            <w:tcMar>
              <w:left w:w="45" w:type="dxa"/>
              <w:right w:w="45" w:type="dxa"/>
            </w:tcMar>
            <w:vAlign w:val="center"/>
          </w:tcPr>
          <w:p>
            <w:pPr>
              <w:spacing w:line="300" w:lineRule="exact"/>
              <w:rPr>
                <w:rFonts w:hint="eastAsia" w:ascii="宋体" w:hAnsi="宋体" w:eastAsia="宋体" w:cs="宋体"/>
                <w:bCs/>
                <w:kern w:val="0"/>
                <w:szCs w:val="21"/>
              </w:rPr>
            </w:pPr>
            <w:r>
              <w:rPr>
                <w:rFonts w:hint="eastAsia" w:ascii="宋体" w:hAnsi="宋体" w:eastAsia="宋体" w:cs="宋体"/>
                <w:bCs/>
                <w:kern w:val="0"/>
                <w:szCs w:val="21"/>
              </w:rPr>
              <w:t>（23）学校、二级单位和实验室应建立应急预案和应急演练制度，定期开展应急知识学习、应急处置培训和应急演练，保障应急人员、物资、装备和经费，保证应急功能完备、人员到位、装备齐全、响应及时，保证实验防护用品与装备、应急物资的有效性。</w:t>
            </w:r>
          </w:p>
        </w:tc>
        <w:tc>
          <w:tcPr>
            <w:tcW w:w="2543" w:type="dxa"/>
            <w:tcMar>
              <w:left w:w="45" w:type="dxa"/>
              <w:right w:w="45" w:type="dxa"/>
            </w:tcMar>
            <w:vAlign w:val="center"/>
          </w:tcPr>
          <w:p>
            <w:pPr>
              <w:widowControl/>
              <w:spacing w:line="300" w:lineRule="exact"/>
              <w:rPr>
                <w:rFonts w:hint="eastAsia" w:ascii="宋体" w:hAnsi="宋体" w:eastAsia="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3.1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安全教育培训活动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3.1.1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开设实验室安全必修课或选修课</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（24）对于有</w:t>
            </w:r>
            <w:r>
              <w:rPr>
                <w:rFonts w:hint="eastAsia" w:ascii="宋体" w:hAnsi="宋体" w:eastAsia="宋体" w:cs="宋体"/>
                <w:kern w:val="0"/>
                <w:szCs w:val="21"/>
              </w:rPr>
              <w:t>重要危险源</w:t>
            </w:r>
            <w:r>
              <w:rPr>
                <w:rFonts w:hint="eastAsia" w:ascii="宋体" w:hAnsi="宋体" w:eastAsia="宋体" w:cs="宋体"/>
                <w:bCs/>
                <w:kern w:val="0"/>
                <w:szCs w:val="21"/>
              </w:rPr>
              <w:t>（见第15目）的院系和专业，要开设有学分的安全教育必修课或将安全教育课程纳入必修环节；鼓励其他专业开设安全选修课。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3.1.2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开展安全教育培训活动</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（25）校级层面有档案证明开展了实验室安全教育培训。</w:t>
            </w:r>
          </w:p>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（26）院系层面有档案证明开展了实验室安全教育培训，</w:t>
            </w:r>
            <w:r>
              <w:rPr>
                <w:rFonts w:hint="eastAsia" w:ascii="宋体" w:hAnsi="宋体" w:eastAsia="宋体" w:cs="宋体"/>
                <w:kern w:val="0"/>
                <w:szCs w:val="21"/>
              </w:rPr>
              <w:t>重点关注外来人员和研究生新生。</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3.1.3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开展结合学科特点的应急演练</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bCs/>
                <w:kern w:val="0"/>
                <w:szCs w:val="21"/>
              </w:rPr>
              <w:t>（27）有实验室安全事故应急演练。</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3.1.4</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组织实验室安全知识考试</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（28）建设有考试系统或考试题库并及时更新，从事实验工作的学生、教职工及外来人员均须参加考试，通过者发放合格证书或保留记录。</w:t>
            </w:r>
          </w:p>
        </w:tc>
        <w:tc>
          <w:tcPr>
            <w:tcW w:w="2543" w:type="dxa"/>
            <w:tcMar>
              <w:left w:w="45" w:type="dxa"/>
              <w:right w:w="45" w:type="dxa"/>
            </w:tcMar>
            <w:vAlign w:val="center"/>
          </w:tcPr>
          <w:p>
            <w:pPr>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3.2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3.2.1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建设有学校特色的安全文化</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（29）学校有网页设立专栏开展安全宣传。</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（30）编印学校实验室安全手册，将实验室安全手册发放到每一位从事实验活动的师生。</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（31）创新宣传教育形式，通过微信公众号、微博、工作简报、文化月、专项整治活动、安全评估、知识竞赛、微电影等方式，加强安全宣传。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3.2.2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建立实验室安全隐患举报制度</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（32）建立实验室安全隐患举报制度，公布实验室安全隐患举报邮箱、电话、信箱等。</w:t>
            </w:r>
          </w:p>
        </w:tc>
        <w:tc>
          <w:tcPr>
            <w:tcW w:w="2543" w:type="dxa"/>
            <w:tcMar>
              <w:left w:w="45" w:type="dxa"/>
              <w:right w:w="45" w:type="dxa"/>
            </w:tcMar>
            <w:vAlign w:val="center"/>
          </w:tcPr>
          <w:p>
            <w:pPr>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4</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kern w:val="0"/>
                <w:szCs w:val="21"/>
              </w:rPr>
              <w:t>安全准入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4.1</w:t>
            </w:r>
          </w:p>
        </w:tc>
        <w:tc>
          <w:tcPr>
            <w:tcW w:w="11480" w:type="dxa"/>
            <w:gridSpan w:val="2"/>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项目安全准入</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4.1.1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对项目进行实验室安全风险评估，保证实验室满足开展项目活动的安全条件</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（33）项目负责人负责对实验项目进行危险源辨识、风险评估和控制，制定现场处置方案，指导有关人员做好安全防护。</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4.2</w:t>
            </w:r>
          </w:p>
        </w:tc>
        <w:tc>
          <w:tcPr>
            <w:tcW w:w="11480" w:type="dxa"/>
            <w:gridSpan w:val="2"/>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人员安全准入</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4.2.1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实验人员须经过安全培训和考核，获得实验室安全准入资格</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（34）实验人员应获得实验室准入资格，并严格遵守各项管理制度。</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4.3</w:t>
            </w:r>
          </w:p>
        </w:tc>
        <w:tc>
          <w:tcPr>
            <w:tcW w:w="11480" w:type="dxa"/>
            <w:gridSpan w:val="2"/>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安全风险分析</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4.3.1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对研究选题进行安全风险分析，做好防控和应急准备</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（35）开展实验前应进行安全风险分析，并通过审核。</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5</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5.1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5.1.1</w:t>
            </w:r>
          </w:p>
        </w:tc>
        <w:tc>
          <w:tcPr>
            <w:tcW w:w="382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学校、院系层面建立危险源分布清单</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（36）清单内容须包括单位、房间、类别、数量、责任人等信息。</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5.1.2</w:t>
            </w:r>
          </w:p>
        </w:tc>
        <w:tc>
          <w:tcPr>
            <w:tcW w:w="382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涉及危险源的实验场所，须有明确的警示标识</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（37）涉及重要危险源（见第15目）的场所，有显著的警示标识。</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5.1.3</w:t>
            </w:r>
          </w:p>
        </w:tc>
        <w:tc>
          <w:tcPr>
            <w:tcW w:w="382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建立针对重要危险源的风险评估和应急预案</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（38）建立风险分级管控方案。</w:t>
            </w:r>
          </w:p>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（39）院系和实验室应建立针对重要危险源的应急预案。</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5.2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5.2.1</w:t>
            </w:r>
          </w:p>
        </w:tc>
        <w:tc>
          <w:tcPr>
            <w:tcW w:w="382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bCs/>
                <w:kern w:val="0"/>
                <w:szCs w:val="21"/>
              </w:rPr>
              <w:t>学校、院系层面安全检查及实验室自检自查</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（40）学校层面检查每年不少于4次，院系层面每月不少于1次，实验室应经常检查。安全检查及整改都应保存记录。</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5.2.2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针对高危实验物品及实验过程开展专项检查</w:t>
            </w:r>
          </w:p>
        </w:tc>
        <w:tc>
          <w:tcPr>
            <w:tcW w:w="7660" w:type="dxa"/>
            <w:tcMar>
              <w:left w:w="45" w:type="dxa"/>
              <w:right w:w="45" w:type="dxa"/>
            </w:tcMar>
            <w:vAlign w:val="center"/>
          </w:tcPr>
          <w:p>
            <w:pPr>
              <w:spacing w:line="300" w:lineRule="exact"/>
              <w:rPr>
                <w:rFonts w:hint="eastAsia" w:ascii="宋体" w:hAnsi="宋体" w:eastAsia="宋体" w:cs="宋体"/>
                <w:bCs/>
                <w:kern w:val="0"/>
                <w:szCs w:val="21"/>
              </w:rPr>
            </w:pPr>
            <w:r>
              <w:rPr>
                <w:rFonts w:hint="eastAsia" w:ascii="宋体" w:hAnsi="宋体" w:eastAsia="宋体" w:cs="宋体"/>
                <w:kern w:val="0"/>
                <w:szCs w:val="21"/>
              </w:rPr>
              <w:t>（41）针对</w:t>
            </w:r>
            <w:r>
              <w:rPr>
                <w:rFonts w:hint="eastAsia" w:ascii="宋体" w:hAnsi="宋体" w:eastAsia="宋体" w:cs="宋体"/>
                <w:bCs/>
                <w:kern w:val="0"/>
                <w:szCs w:val="21"/>
              </w:rPr>
              <w:t>重要险源（见第15目）</w:t>
            </w:r>
            <w:r>
              <w:rPr>
                <w:rFonts w:hint="eastAsia" w:ascii="宋体" w:hAnsi="宋体" w:eastAsia="宋体" w:cs="宋体"/>
                <w:kern w:val="0"/>
                <w:szCs w:val="21"/>
              </w:rPr>
              <w:t>，开展定期专项检查。</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5.2.3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42）安全检查人员要佩戴标识、配备照相器具。进入涉及危化品、生物、辐射等实验室要穿戴必要的防护装具；检查辐射场所要佩戴个人辐射剂量计；配备必要的测量、计量用具（手持式VOC检测仪、声级计、风速仪、电笔、万用表等）。</w:t>
            </w:r>
          </w:p>
        </w:tc>
        <w:tc>
          <w:tcPr>
            <w:tcW w:w="2543" w:type="dxa"/>
            <w:tcMar>
              <w:left w:w="45" w:type="dxa"/>
              <w:right w:w="45" w:type="dxa"/>
            </w:tcMar>
            <w:vAlign w:val="center"/>
          </w:tcPr>
          <w:p>
            <w:pPr>
              <w:widowControl/>
              <w:spacing w:line="300" w:lineRule="exac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5.3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5.3.1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（43）通知的方式包括校网上公告、实验室安全简报、书面或电子的整改通知书等形式。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5.3.2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院系须及时组织隐患整改</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（44）整改报告应在规定时间内提交学校管理部门。</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（45）如存在重大隐患，实验室应立即停止实验活动，整改完成或采取相应防护措施后方能恢复实验。</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5.4</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5.4.1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学校有定期/不定期</w:t>
            </w:r>
            <w:r>
              <w:rPr>
                <w:rFonts w:hint="eastAsia" w:ascii="宋体" w:hAnsi="宋体" w:eastAsia="宋体" w:cs="宋体"/>
                <w:bCs/>
                <w:kern w:val="0"/>
                <w:szCs w:val="21"/>
              </w:rPr>
              <w:t>的</w:t>
            </w:r>
            <w:r>
              <w:rPr>
                <w:rFonts w:hint="eastAsia" w:ascii="宋体" w:hAnsi="宋体" w:eastAsia="宋体" w:cs="宋体"/>
                <w:kern w:val="0"/>
                <w:szCs w:val="21"/>
              </w:rPr>
              <w:t>安全检查通报；院系有安全检查及整改记录</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（46）存有相关资料或电子文档。</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6</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6.1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6.1.1</w:t>
            </w:r>
          </w:p>
        </w:tc>
        <w:tc>
          <w:tcPr>
            <w:tcW w:w="382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实验场所应张贴安全信息牌</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szCs w:val="21"/>
              </w:rPr>
              <w:t>（47）每个房间门口挂有安全信息牌，信息包括：安全风险点的警示标识、安全责任人、涉及危险类别、防护措施和有效的应急联系电话等，并及时更新。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6.1.2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实验场所应具备合理的安全空间布局</w:t>
            </w:r>
          </w:p>
        </w:tc>
        <w:tc>
          <w:tcPr>
            <w:tcW w:w="766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（48）超过200平方米的实验楼层具有至少两处安全出口，75平方米以上实验室要有两个出入口。</w:t>
            </w:r>
          </w:p>
          <w:p>
            <w:pPr>
              <w:widowControl/>
              <w:spacing w:line="300" w:lineRule="exact"/>
              <w:rPr>
                <w:rFonts w:hint="eastAsia" w:ascii="宋体" w:hAnsi="宋体" w:eastAsia="宋体" w:cs="宋体"/>
                <w:szCs w:val="21"/>
              </w:rPr>
            </w:pPr>
            <w:r>
              <w:rPr>
                <w:rFonts w:hint="eastAsia" w:ascii="宋体" w:hAnsi="宋体" w:eastAsia="宋体" w:cs="宋体"/>
                <w:szCs w:val="21"/>
              </w:rPr>
              <w:t>（49）实验楼大走廊保证留有大于1.5米净宽的消防通道。</w:t>
            </w:r>
          </w:p>
          <w:p>
            <w:pPr>
              <w:widowControl/>
              <w:spacing w:line="300" w:lineRule="exact"/>
              <w:rPr>
                <w:rFonts w:hint="eastAsia" w:ascii="宋体" w:hAnsi="宋体" w:eastAsia="宋体" w:cs="宋体"/>
                <w:szCs w:val="21"/>
              </w:rPr>
            </w:pPr>
            <w:r>
              <w:rPr>
                <w:rFonts w:hint="eastAsia" w:ascii="宋体" w:hAnsi="宋体" w:eastAsia="宋体" w:cs="宋体"/>
                <w:szCs w:val="21"/>
              </w:rPr>
              <w:t>（50）实验室操作区层高不低于2</w:t>
            </w:r>
            <w:bookmarkStart w:id="3" w:name="_GoBack"/>
            <w:bookmarkEnd w:id="3"/>
            <w:r>
              <w:rPr>
                <w:rFonts w:hint="eastAsia" w:ascii="宋体" w:hAnsi="宋体" w:eastAsia="宋体" w:cs="宋体"/>
                <w:szCs w:val="21"/>
              </w:rPr>
              <w:t>米。</w:t>
            </w:r>
          </w:p>
          <w:p>
            <w:pPr>
              <w:widowControl/>
              <w:spacing w:line="300" w:lineRule="exact"/>
              <w:rPr>
                <w:rFonts w:hint="eastAsia" w:ascii="宋体" w:hAnsi="宋体" w:eastAsia="宋体" w:cs="宋体"/>
                <w:bCs/>
                <w:kern w:val="0"/>
                <w:szCs w:val="21"/>
              </w:rPr>
            </w:pPr>
            <w:r>
              <w:rPr>
                <w:rFonts w:hint="eastAsia" w:ascii="宋体" w:hAnsi="宋体" w:eastAsia="宋体" w:cs="宋体"/>
                <w:szCs w:val="21"/>
              </w:rPr>
              <w:t>（51）理工农医类实验室内多人同时进行实验时，人均操作面积不小于2.5平方米。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6.1.3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实验室消防通道通畅，公共场所不堆放仪器和物品</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szCs w:val="21"/>
              </w:rPr>
              <w:t>（52）保持消防通道通畅。</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6.1.4</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实验室建设和装修应符合消防安全要求</w:t>
            </w:r>
          </w:p>
        </w:tc>
        <w:tc>
          <w:tcPr>
            <w:tcW w:w="766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（53）实验操作台应选用合格的防火、耐腐蚀材料。</w:t>
            </w:r>
          </w:p>
          <w:p>
            <w:pPr>
              <w:widowControl/>
              <w:spacing w:line="300" w:lineRule="exact"/>
              <w:rPr>
                <w:rFonts w:hint="eastAsia" w:ascii="宋体" w:hAnsi="宋体" w:eastAsia="宋体" w:cs="宋体"/>
                <w:szCs w:val="21"/>
              </w:rPr>
            </w:pPr>
            <w:r>
              <w:rPr>
                <w:rFonts w:hint="eastAsia" w:ascii="宋体" w:hAnsi="宋体" w:eastAsia="宋体" w:cs="宋体"/>
                <w:szCs w:val="21"/>
              </w:rPr>
              <w:t>（54）仪器设备安装符合建筑物承重荷载。</w:t>
            </w:r>
          </w:p>
          <w:p>
            <w:pPr>
              <w:widowControl/>
              <w:spacing w:line="300" w:lineRule="exact"/>
              <w:rPr>
                <w:rFonts w:hint="eastAsia" w:ascii="宋体" w:hAnsi="宋体" w:eastAsia="宋体" w:cs="宋体"/>
                <w:szCs w:val="21"/>
              </w:rPr>
            </w:pPr>
            <w:r>
              <w:rPr>
                <w:rFonts w:hint="eastAsia" w:ascii="宋体" w:hAnsi="宋体" w:eastAsia="宋体" w:cs="宋体"/>
                <w:szCs w:val="21"/>
              </w:rPr>
              <w:t>（55）有可燃气体的实验室不设吊顶。</w:t>
            </w:r>
          </w:p>
          <w:p>
            <w:pPr>
              <w:widowControl/>
              <w:spacing w:line="300" w:lineRule="exact"/>
              <w:rPr>
                <w:rFonts w:hint="eastAsia" w:ascii="宋体" w:hAnsi="宋体" w:eastAsia="宋体" w:cs="宋体"/>
                <w:szCs w:val="21"/>
              </w:rPr>
            </w:pPr>
            <w:r>
              <w:rPr>
                <w:rFonts w:hint="eastAsia" w:ascii="宋体" w:hAnsi="宋体" w:eastAsia="宋体" w:cs="宋体"/>
                <w:szCs w:val="21"/>
              </w:rPr>
              <w:t>（56）不用的配电箱、插座、水管水龙头、网线、气体管路等，应及时拆除或封闭。</w:t>
            </w:r>
          </w:p>
          <w:p>
            <w:pPr>
              <w:widowControl/>
              <w:spacing w:line="300" w:lineRule="exact"/>
              <w:rPr>
                <w:rFonts w:hint="eastAsia" w:ascii="宋体" w:hAnsi="宋体" w:eastAsia="宋体" w:cs="宋体"/>
                <w:bCs/>
                <w:kern w:val="0"/>
                <w:szCs w:val="21"/>
              </w:rPr>
            </w:pPr>
            <w:r>
              <w:rPr>
                <w:rFonts w:hint="eastAsia" w:ascii="宋体" w:hAnsi="宋体" w:eastAsia="宋体" w:cs="宋体"/>
                <w:szCs w:val="21"/>
              </w:rPr>
              <w:t>（57）实验室门上有观察窗，外开门不阻挡逃生路径。</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6.1.5</w:t>
            </w:r>
          </w:p>
        </w:tc>
        <w:tc>
          <w:tcPr>
            <w:tcW w:w="382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实验室所有房间均须配有应急备用钥匙</w:t>
            </w:r>
          </w:p>
        </w:tc>
        <w:tc>
          <w:tcPr>
            <w:tcW w:w="7660" w:type="dxa"/>
            <w:tcMar>
              <w:left w:w="45" w:type="dxa"/>
              <w:right w:w="45" w:type="dxa"/>
            </w:tcMar>
            <w:vAlign w:val="center"/>
          </w:tcPr>
          <w:p>
            <w:pPr>
              <w:widowControl/>
              <w:spacing w:line="300" w:lineRule="exact"/>
              <w:rPr>
                <w:rFonts w:hint="eastAsia" w:ascii="宋体" w:hAnsi="宋体" w:eastAsia="宋体" w:cs="宋体"/>
                <w:bCs/>
                <w:szCs w:val="21"/>
              </w:rPr>
            </w:pPr>
            <w:r>
              <w:rPr>
                <w:rFonts w:hint="eastAsia" w:ascii="宋体" w:hAnsi="宋体" w:eastAsia="宋体" w:cs="宋体"/>
                <w:szCs w:val="21"/>
              </w:rPr>
              <w:t>（58）应急备用钥匙须集中存放、统一管理，应急时方便取用。</w:t>
            </w:r>
          </w:p>
        </w:tc>
        <w:tc>
          <w:tcPr>
            <w:tcW w:w="2543" w:type="dxa"/>
            <w:tcMar>
              <w:left w:w="45" w:type="dxa"/>
              <w:right w:w="45" w:type="dxa"/>
            </w:tcMar>
            <w:vAlign w:val="center"/>
          </w:tcPr>
          <w:p>
            <w:pPr>
              <w:widowControl/>
              <w:spacing w:line="300" w:lineRule="exact"/>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6.1.6</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实验设备须做好振动减振、电磁屏蔽和降噪</w:t>
            </w:r>
          </w:p>
        </w:tc>
        <w:tc>
          <w:tcPr>
            <w:tcW w:w="766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（59）容易产生振动的设备，须考虑采取合理的减振措施。</w:t>
            </w:r>
          </w:p>
          <w:p>
            <w:pPr>
              <w:widowControl/>
              <w:spacing w:line="300" w:lineRule="exact"/>
              <w:rPr>
                <w:rFonts w:hint="eastAsia" w:ascii="宋体" w:hAnsi="宋体" w:eastAsia="宋体" w:cs="宋体"/>
                <w:szCs w:val="21"/>
              </w:rPr>
            </w:pPr>
            <w:r>
              <w:rPr>
                <w:rFonts w:hint="eastAsia" w:ascii="宋体" w:hAnsi="宋体" w:eastAsia="宋体" w:cs="宋体"/>
                <w:szCs w:val="21"/>
              </w:rPr>
              <w:t>（60）易对外产生磁场或易受磁场干扰的设备，须做好磁屏蔽。</w:t>
            </w:r>
          </w:p>
          <w:p>
            <w:pPr>
              <w:widowControl/>
              <w:spacing w:line="300" w:lineRule="exact"/>
              <w:rPr>
                <w:rFonts w:hint="eastAsia" w:ascii="宋体" w:hAnsi="宋体" w:eastAsia="宋体" w:cs="宋体"/>
                <w:bCs/>
                <w:kern w:val="0"/>
                <w:szCs w:val="21"/>
              </w:rPr>
            </w:pPr>
            <w:r>
              <w:rPr>
                <w:rFonts w:hint="eastAsia" w:ascii="宋体" w:hAnsi="宋体" w:eastAsia="宋体" w:cs="宋体"/>
                <w:szCs w:val="21"/>
              </w:rPr>
              <w:t>（61）实验室噪声一般不高于55分贝（机械设备不高于70分贝）。</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6.1.7</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实验室水、电、气管线布局合理，安装施工规范</w:t>
            </w:r>
          </w:p>
        </w:tc>
        <w:tc>
          <w:tcPr>
            <w:tcW w:w="7660" w:type="dxa"/>
            <w:tcMar>
              <w:left w:w="45" w:type="dxa"/>
              <w:right w:w="45" w:type="dxa"/>
            </w:tcMar>
            <w:vAlign w:val="center"/>
          </w:tcPr>
          <w:p>
            <w:pPr>
              <w:spacing w:line="300" w:lineRule="exact"/>
              <w:rPr>
                <w:rFonts w:hint="eastAsia" w:ascii="宋体" w:hAnsi="宋体" w:eastAsia="宋体" w:cs="宋体"/>
                <w:bCs/>
                <w:szCs w:val="21"/>
              </w:rPr>
            </w:pPr>
            <w:r>
              <w:rPr>
                <w:rFonts w:hint="eastAsia" w:ascii="宋体" w:hAnsi="宋体" w:eastAsia="宋体" w:cs="宋体"/>
                <w:szCs w:val="21"/>
              </w:rPr>
              <w:t>（62）采用管道供气的实验室，输气管道及阀门无漏气现象，并有明确标识</w:t>
            </w:r>
            <w:r>
              <w:rPr>
                <w:rFonts w:hint="eastAsia" w:ascii="宋体" w:hAnsi="宋体" w:eastAsia="宋体" w:cs="宋体"/>
                <w:bCs/>
                <w:szCs w:val="21"/>
              </w:rPr>
              <w:t>。供气管道有名称和气体流向标识，无破损。</w:t>
            </w:r>
          </w:p>
          <w:p>
            <w:pPr>
              <w:spacing w:line="300" w:lineRule="exact"/>
              <w:rPr>
                <w:rFonts w:hint="eastAsia" w:ascii="宋体" w:hAnsi="宋体" w:eastAsia="宋体" w:cs="宋体"/>
                <w:szCs w:val="21"/>
              </w:rPr>
            </w:pPr>
            <w:r>
              <w:rPr>
                <w:rFonts w:hint="eastAsia" w:ascii="宋体" w:hAnsi="宋体" w:eastAsia="宋体" w:cs="宋体"/>
                <w:bCs/>
                <w:szCs w:val="21"/>
              </w:rPr>
              <w:t>（63）</w:t>
            </w:r>
            <w:r>
              <w:rPr>
                <w:rFonts w:hint="eastAsia" w:ascii="宋体" w:hAnsi="宋体" w:eastAsia="宋体" w:cs="宋体"/>
                <w:szCs w:val="21"/>
              </w:rPr>
              <w:t>高温、明火设备放置位置与气体管道有安全间隔距离。</w:t>
            </w:r>
          </w:p>
          <w:p>
            <w:pPr>
              <w:spacing w:line="300" w:lineRule="exact"/>
              <w:rPr>
                <w:rFonts w:hint="eastAsia" w:ascii="宋体" w:hAnsi="宋体" w:eastAsia="宋体" w:cs="宋体"/>
                <w:bCs/>
                <w:szCs w:val="21"/>
              </w:rPr>
            </w:pPr>
            <w:r>
              <w:rPr>
                <w:rFonts w:hint="eastAsia" w:ascii="宋体" w:hAnsi="宋体" w:eastAsia="宋体" w:cs="宋体"/>
                <w:szCs w:val="21"/>
              </w:rPr>
              <w:t>（64）实验室改造工程应经过审批后实施。</w:t>
            </w:r>
          </w:p>
        </w:tc>
        <w:tc>
          <w:tcPr>
            <w:tcW w:w="2543" w:type="dxa"/>
            <w:tcMar>
              <w:left w:w="45" w:type="dxa"/>
              <w:right w:w="45" w:type="dxa"/>
            </w:tcMar>
            <w:vAlign w:val="center"/>
          </w:tcPr>
          <w:p>
            <w:pPr>
              <w:spacing w:line="300" w:lineRule="exact"/>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6.2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6.2.1</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实验室分区应相对独立，布局合理</w:t>
            </w:r>
          </w:p>
        </w:tc>
        <w:tc>
          <w:tcPr>
            <w:tcW w:w="7660" w:type="dxa"/>
            <w:tcMar>
              <w:left w:w="45" w:type="dxa"/>
              <w:right w:w="45" w:type="dxa"/>
            </w:tcMar>
            <w:vAlign w:val="center"/>
          </w:tcPr>
          <w:p>
            <w:pPr>
              <w:spacing w:line="300" w:lineRule="exact"/>
              <w:rPr>
                <w:rFonts w:hint="eastAsia" w:ascii="宋体" w:hAnsi="宋体" w:eastAsia="宋体" w:cs="宋体"/>
                <w:bCs/>
                <w:szCs w:val="21"/>
              </w:rPr>
            </w:pPr>
            <w:r>
              <w:rPr>
                <w:rFonts w:hint="eastAsia" w:ascii="宋体" w:hAnsi="宋体" w:eastAsia="宋体" w:cs="宋体"/>
                <w:szCs w:val="21"/>
              </w:rPr>
              <w:t>（65）有毒有害实验区与学习区明确分开，合理布局，重点关注化学、生物、辐射、激光等类别实验室。如部分区域分区不明显，现场查看有毒有害物质的管理须对工作环境无健康危害。</w:t>
            </w:r>
          </w:p>
        </w:tc>
        <w:tc>
          <w:tcPr>
            <w:tcW w:w="2543" w:type="dxa"/>
            <w:tcMar>
              <w:left w:w="45" w:type="dxa"/>
              <w:right w:w="45" w:type="dxa"/>
            </w:tcMar>
            <w:vAlign w:val="center"/>
          </w:tcPr>
          <w:p>
            <w:pPr>
              <w:spacing w:line="300" w:lineRule="exact"/>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6.2.2</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bCs/>
                <w:szCs w:val="21"/>
              </w:rPr>
              <w:t>实验室环境应整洁卫生有序</w:t>
            </w:r>
          </w:p>
        </w:tc>
        <w:tc>
          <w:tcPr>
            <w:tcW w:w="766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（66）实验室物品摆放有序，卫生状况良好，实验完毕物品归位，无废弃物品、不放无关物品。</w:t>
            </w:r>
          </w:p>
          <w:p>
            <w:pPr>
              <w:spacing w:line="300" w:lineRule="exact"/>
              <w:rPr>
                <w:rFonts w:hint="eastAsia" w:ascii="宋体" w:hAnsi="宋体" w:eastAsia="宋体" w:cs="宋体"/>
                <w:bCs/>
                <w:szCs w:val="21"/>
              </w:rPr>
            </w:pPr>
            <w:r>
              <w:rPr>
                <w:rFonts w:hint="eastAsia" w:ascii="宋体" w:hAnsi="宋体" w:eastAsia="宋体" w:cs="宋体"/>
                <w:szCs w:val="21"/>
              </w:rPr>
              <w:t>（67）</w:t>
            </w:r>
            <w:r>
              <w:rPr>
                <w:rFonts w:hint="eastAsia" w:ascii="宋体" w:hAnsi="宋体" w:eastAsia="宋体" w:cs="宋体"/>
                <w:kern w:val="0"/>
                <w:szCs w:val="21"/>
              </w:rPr>
              <w:t>不在实验室睡觉，不存放和烧煮食物、饮食，禁止吸烟、不使用可燃性蚊香。</w:t>
            </w:r>
          </w:p>
        </w:tc>
        <w:tc>
          <w:tcPr>
            <w:tcW w:w="2543" w:type="dxa"/>
            <w:tcMar>
              <w:left w:w="45" w:type="dxa"/>
              <w:right w:w="45" w:type="dxa"/>
            </w:tcMar>
            <w:vAlign w:val="center"/>
          </w:tcPr>
          <w:p>
            <w:pPr>
              <w:spacing w:line="300" w:lineRule="exact"/>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6.2.3</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实验室有卫生安全制度</w:t>
            </w:r>
          </w:p>
        </w:tc>
        <w:tc>
          <w:tcPr>
            <w:tcW w:w="7660" w:type="dxa"/>
            <w:tcMar>
              <w:left w:w="45" w:type="dxa"/>
              <w:right w:w="45" w:type="dxa"/>
            </w:tcMar>
            <w:vAlign w:val="center"/>
          </w:tcPr>
          <w:p>
            <w:pPr>
              <w:spacing w:line="300" w:lineRule="exact"/>
              <w:rPr>
                <w:rFonts w:hint="eastAsia" w:ascii="宋体" w:hAnsi="宋体" w:eastAsia="宋体" w:cs="宋体"/>
                <w:bCs/>
                <w:szCs w:val="21"/>
              </w:rPr>
            </w:pPr>
            <w:r>
              <w:rPr>
                <w:rFonts w:hint="eastAsia" w:ascii="宋体" w:hAnsi="宋体" w:eastAsia="宋体" w:cs="宋体"/>
                <w:kern w:val="0"/>
                <w:szCs w:val="21"/>
              </w:rPr>
              <w:t>（68）实验期间有记录。</w:t>
            </w:r>
          </w:p>
        </w:tc>
        <w:tc>
          <w:tcPr>
            <w:tcW w:w="2543" w:type="dxa"/>
            <w:tcMar>
              <w:left w:w="45" w:type="dxa"/>
              <w:right w:w="45" w:type="dxa"/>
            </w:tcMar>
            <w:vAlign w:val="center"/>
          </w:tcPr>
          <w:p>
            <w:pPr>
              <w:spacing w:line="300" w:lineRule="exact"/>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6.3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场所其他安全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6.3.1</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rPr>
              <w:t>每间实验室均有编号并登记造册</w:t>
            </w:r>
          </w:p>
        </w:tc>
        <w:tc>
          <w:tcPr>
            <w:tcW w:w="7660" w:type="dxa"/>
            <w:tcMar>
              <w:left w:w="45" w:type="dxa"/>
              <w:right w:w="45" w:type="dxa"/>
            </w:tcMar>
            <w:vAlign w:val="center"/>
          </w:tcPr>
          <w:p>
            <w:pPr>
              <w:spacing w:line="300" w:lineRule="exact"/>
              <w:rPr>
                <w:rFonts w:hint="eastAsia" w:ascii="宋体" w:hAnsi="宋体" w:eastAsia="宋体" w:cs="宋体"/>
                <w:bCs/>
                <w:szCs w:val="21"/>
              </w:rPr>
            </w:pPr>
            <w:r>
              <w:rPr>
                <w:rFonts w:hint="eastAsia" w:ascii="宋体" w:hAnsi="宋体" w:eastAsia="宋体" w:cs="宋体"/>
                <w:bCs/>
                <w:szCs w:val="21"/>
              </w:rPr>
              <w:t>（69）现场查看门牌，查阅档案。</w:t>
            </w:r>
          </w:p>
        </w:tc>
        <w:tc>
          <w:tcPr>
            <w:tcW w:w="2543" w:type="dxa"/>
            <w:tcMar>
              <w:left w:w="45" w:type="dxa"/>
              <w:right w:w="45" w:type="dxa"/>
            </w:tcMar>
            <w:vAlign w:val="center"/>
          </w:tcPr>
          <w:p>
            <w:pPr>
              <w:spacing w:line="300" w:lineRule="exact"/>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6.3.2</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危险性实验室应配备急救物品</w:t>
            </w:r>
          </w:p>
        </w:tc>
        <w:tc>
          <w:tcPr>
            <w:tcW w:w="7660" w:type="dxa"/>
            <w:tcMar>
              <w:left w:w="45" w:type="dxa"/>
              <w:right w:w="45" w:type="dxa"/>
            </w:tcMar>
            <w:vAlign w:val="center"/>
          </w:tcPr>
          <w:p>
            <w:pPr>
              <w:spacing w:line="300" w:lineRule="exact"/>
              <w:rPr>
                <w:rFonts w:hint="eastAsia" w:ascii="宋体" w:hAnsi="宋体" w:eastAsia="宋体" w:cs="宋体"/>
                <w:bCs/>
                <w:szCs w:val="21"/>
              </w:rPr>
            </w:pPr>
            <w:r>
              <w:rPr>
                <w:rFonts w:hint="eastAsia" w:ascii="宋体" w:hAnsi="宋体" w:eastAsia="宋体" w:cs="宋体"/>
                <w:szCs w:val="21"/>
              </w:rPr>
              <w:t>（70）配备的药箱不得上锁，并定期检查药品是否在保质期内。</w:t>
            </w:r>
          </w:p>
        </w:tc>
        <w:tc>
          <w:tcPr>
            <w:tcW w:w="2543" w:type="dxa"/>
            <w:tcMar>
              <w:left w:w="45" w:type="dxa"/>
              <w:right w:w="45" w:type="dxa"/>
            </w:tcMar>
            <w:vAlign w:val="center"/>
          </w:tcPr>
          <w:p>
            <w:pPr>
              <w:spacing w:line="300" w:lineRule="exact"/>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6.3.3</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停用的实验室有安全防范措施和明显标识</w:t>
            </w:r>
          </w:p>
        </w:tc>
        <w:tc>
          <w:tcPr>
            <w:tcW w:w="7660" w:type="dxa"/>
            <w:tcMar>
              <w:left w:w="45" w:type="dxa"/>
              <w:right w:w="45" w:type="dxa"/>
            </w:tcMar>
            <w:vAlign w:val="center"/>
          </w:tcPr>
          <w:p>
            <w:pPr>
              <w:spacing w:line="300" w:lineRule="exact"/>
              <w:rPr>
                <w:rFonts w:hint="eastAsia" w:ascii="宋体" w:hAnsi="宋体" w:eastAsia="宋体" w:cs="宋体"/>
                <w:bCs/>
                <w:szCs w:val="21"/>
              </w:rPr>
            </w:pPr>
            <w:r>
              <w:rPr>
                <w:rFonts w:hint="eastAsia" w:ascii="宋体" w:hAnsi="宋体" w:eastAsia="宋体" w:cs="宋体"/>
                <w:bCs/>
                <w:szCs w:val="21"/>
              </w:rPr>
              <w:t>（71）查看现场。</w:t>
            </w:r>
          </w:p>
        </w:tc>
        <w:tc>
          <w:tcPr>
            <w:tcW w:w="2543" w:type="dxa"/>
            <w:tcMar>
              <w:left w:w="45" w:type="dxa"/>
              <w:right w:w="45" w:type="dxa"/>
            </w:tcMar>
            <w:vAlign w:val="center"/>
          </w:tcPr>
          <w:p>
            <w:pPr>
              <w:spacing w:line="300" w:lineRule="exact"/>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7</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7.1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7.1.1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（72）烟感报警器、灭火器、灭火毯、消防砂、消防喷淋等，应正常有效、方便取用。</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（73）灭火器种类配置正确，且在有效期内（压力指针位置正常等），保险销正常，瓶身无破损、腐蚀。</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7.1.2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紧急逃生疏散路线通畅</w:t>
            </w:r>
          </w:p>
        </w:tc>
        <w:tc>
          <w:tcPr>
            <w:tcW w:w="766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（74）在显著位置张贴有紧急逃生疏散路线图，疏散路线图的逃生路线应有二条（含）以上，路线与现场情况符合。</w:t>
            </w:r>
          </w:p>
          <w:p>
            <w:pPr>
              <w:rPr>
                <w:rFonts w:hint="eastAsia" w:ascii="宋体" w:hAnsi="宋体" w:eastAsia="宋体" w:cs="宋体"/>
                <w:kern w:val="0"/>
              </w:rPr>
            </w:pPr>
            <w:r>
              <w:rPr>
                <w:rFonts w:hint="eastAsia" w:ascii="宋体" w:hAnsi="宋体" w:eastAsia="宋体" w:cs="宋体"/>
                <w:kern w:val="0"/>
                <w:szCs w:val="21"/>
              </w:rPr>
              <w:t>（75）主要逃生路径（室内、楼梯、通道和出口处）有足够的紧急照明灯，功能正常</w:t>
            </w:r>
            <w:r>
              <w:rPr>
                <w:rFonts w:hint="eastAsia" w:ascii="宋体" w:hAnsi="宋体" w:eastAsia="宋体" w:cs="宋体"/>
                <w:kern w:val="0"/>
              </w:rPr>
              <w:t>，并设置有效标识指示逃生方向。</w:t>
            </w:r>
          </w:p>
          <w:p>
            <w:pPr>
              <w:rPr>
                <w:rFonts w:hint="eastAsia" w:ascii="宋体" w:hAnsi="宋体" w:eastAsia="宋体" w:cs="宋体"/>
                <w:bCs/>
                <w:kern w:val="0"/>
                <w:szCs w:val="21"/>
              </w:rPr>
            </w:pPr>
            <w:r>
              <w:rPr>
                <w:rFonts w:hint="eastAsia" w:ascii="宋体" w:hAnsi="宋体" w:eastAsia="宋体" w:cs="宋体"/>
                <w:kern w:val="0"/>
              </w:rPr>
              <w:t>（76）</w:t>
            </w:r>
            <w:r>
              <w:rPr>
                <w:rFonts w:hint="eastAsia" w:ascii="宋体" w:hAnsi="宋体" w:eastAsia="宋体" w:cs="宋体"/>
                <w:kern w:val="0"/>
                <w:szCs w:val="21"/>
              </w:rPr>
              <w:t>人员应熟悉紧急疏散路线及火场逃生注意事项（现场调查人员熟悉程度）。</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7.2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7.2.1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存在燃烧、腐蚀等风险的实验区域，须配置应急喷淋和洗眼装置</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（77）应急喷淋和洗眼装置的区域有显著标识。</w:t>
            </w:r>
          </w:p>
        </w:tc>
        <w:tc>
          <w:tcPr>
            <w:tcW w:w="2543" w:type="dxa"/>
            <w:tcMar>
              <w:left w:w="45" w:type="dxa"/>
              <w:right w:w="45" w:type="dxa"/>
            </w:tcMar>
            <w:vAlign w:val="center"/>
          </w:tcPr>
          <w:p>
            <w:pPr>
              <w:spacing w:line="300" w:lineRule="exact"/>
              <w:rPr>
                <w:rFonts w:hint="eastAsia" w:ascii="宋体" w:hAnsi="宋体" w:eastAsia="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7.2.2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（78）应急喷淋安装地点与工作区域之间畅通，距离不超过30米。应急喷淋安装位置合适，拉杆位置合适、方向正确。应急喷淋装置水管总阀为常开状，喷淋头下方410mm范围内无障碍物。</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（79）不能以普通淋浴装置代替应急喷淋装置。</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（80）洗眼装置接入生活用水管道，应至少以1.5L/min的流量供水，水压适中，</w:t>
            </w:r>
            <w:r>
              <w:rPr>
                <w:rFonts w:hint="eastAsia" w:ascii="宋体" w:hAnsi="宋体" w:eastAsia="宋体" w:cs="宋体"/>
                <w:bCs/>
                <w:kern w:val="0"/>
                <w:szCs w:val="21"/>
              </w:rPr>
              <w:t>水流畅通平稳。</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7.2.3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定期对应急喷淋与洗眼装置进行维护</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（81）经常对应急喷淋与洗眼装置进行维护，无锈水脏水，有检查记录。</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7.3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7.3.1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（82）管道风机须防腐，使用可燃气体场所宜采用防爆风机。</w:t>
            </w:r>
          </w:p>
          <w:p>
            <w:pPr>
              <w:widowControl/>
              <w:spacing w:line="300" w:lineRule="exact"/>
              <w:rPr>
                <w:rFonts w:hint="eastAsia" w:ascii="宋体" w:hAnsi="宋体" w:eastAsia="宋体" w:cs="宋体"/>
                <w:kern w:val="0"/>
                <w:szCs w:val="21"/>
              </w:rPr>
            </w:pPr>
            <w:r>
              <w:rPr>
                <w:rFonts w:hint="eastAsia" w:ascii="宋体" w:hAnsi="宋体" w:eastAsia="宋体" w:cs="宋体"/>
                <w:bCs/>
                <w:kern w:val="0"/>
                <w:szCs w:val="21"/>
              </w:rPr>
              <w:t>（83）</w:t>
            </w:r>
            <w:r>
              <w:rPr>
                <w:rFonts w:hint="eastAsia" w:ascii="宋体" w:hAnsi="宋体" w:eastAsia="宋体" w:cs="宋体"/>
                <w:kern w:val="0"/>
                <w:szCs w:val="21"/>
              </w:rPr>
              <w:t>实验室通风系统运行正常，</w:t>
            </w:r>
            <w:r>
              <w:rPr>
                <w:rFonts w:hint="eastAsia" w:ascii="宋体" w:hAnsi="宋体" w:eastAsia="宋体" w:cs="宋体"/>
                <w:szCs w:val="21"/>
              </w:rPr>
              <w:t>柜口面</w:t>
            </w:r>
            <w:r>
              <w:rPr>
                <w:rFonts w:hint="eastAsia" w:ascii="宋体" w:hAnsi="宋体" w:eastAsia="宋体" w:cs="宋体"/>
                <w:kern w:val="0"/>
                <w:szCs w:val="21"/>
              </w:rPr>
              <w:t>风速0.35~0.75米/秒，定期进行维护、检修。</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（84）屋顶风机固定无松动、无异常噪声。</w:t>
            </w:r>
          </w:p>
        </w:tc>
        <w:tc>
          <w:tcPr>
            <w:tcW w:w="2543" w:type="dxa"/>
            <w:tcMar>
              <w:left w:w="45" w:type="dxa"/>
              <w:right w:w="45" w:type="dxa"/>
            </w:tcMar>
            <w:vAlign w:val="center"/>
          </w:tcPr>
          <w:p>
            <w:pPr>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7.3.2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通风柜配置合理、使用正常、操作合规</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（85）实验室排出的有害物质浓度超过国家现行标准规定的允许排放标准时，须采取净化措施，做到达标排放。</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（86）任何可能产生有毒有害气体而导致个人曝露、或产生可燃、可爆炸气体或蒸汽而导致积聚的实验，都须在通风柜内进行。</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87）进行实验时，通风柜可调玻璃视窗开至离台面10-15厘米，保持通风效果，并保护操作人员胸部以上部位。实验人员在通风柜进行实验时，避免将头伸入调节门内。不可将一次性手套或较轻的塑料袋等留在通风柜内，以免堵塞排风口。通风柜内放置的物品应距离调节门内侧15厘米以上，以免掉落。</w:t>
            </w:r>
            <w:r>
              <w:rPr>
                <w:rFonts w:hint="eastAsia" w:ascii="宋体" w:hAnsi="宋体" w:eastAsia="宋体" w:cs="宋体"/>
                <w:kern w:val="0"/>
                <w:szCs w:val="21"/>
                <w:highlight w:val="cyan"/>
              </w:rPr>
              <w:t>不得将通风柜作为化学试剂存放场所</w:t>
            </w:r>
            <w:r>
              <w:rPr>
                <w:rFonts w:hint="eastAsia" w:ascii="宋体" w:hAnsi="宋体" w:eastAsia="宋体" w:cs="宋体"/>
                <w:kern w:val="0"/>
                <w:szCs w:val="21"/>
              </w:rPr>
              <w:t>。</w:t>
            </w:r>
            <w:r>
              <w:rPr>
                <w:rFonts w:hint="eastAsia" w:ascii="宋体" w:hAnsi="宋体" w:eastAsia="宋体" w:cs="宋体"/>
                <w:bCs/>
                <w:kern w:val="0"/>
                <w:szCs w:val="21"/>
              </w:rPr>
              <w:t>玻璃视窗材料应是钢化玻璃。</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7.4</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7.4.1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重点场所须安装门禁和监控设施，并有专人管理</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szCs w:val="21"/>
              </w:rPr>
              <w:t>（88）关注重点场所，如剧毒品、病原微生物、放射源存放点、核材料等危险源的管理。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7.4.2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（89）监控不留死角，图像清晰，人员出入记录可查，视频记录存储时间不少于30天。</w:t>
            </w:r>
          </w:p>
          <w:p>
            <w:pPr>
              <w:widowControl/>
              <w:spacing w:line="300" w:lineRule="exact"/>
              <w:rPr>
                <w:rFonts w:hint="eastAsia" w:ascii="宋体" w:hAnsi="宋体" w:eastAsia="宋体" w:cs="宋体"/>
                <w:bCs/>
                <w:kern w:val="0"/>
                <w:szCs w:val="21"/>
              </w:rPr>
            </w:pPr>
            <w:r>
              <w:rPr>
                <w:rFonts w:hint="eastAsia" w:ascii="宋体" w:hAnsi="宋体" w:eastAsia="宋体" w:cs="宋体"/>
                <w:szCs w:val="21"/>
              </w:rPr>
              <w:t>（90）停电时，电子门禁系统应是开启状态或者有备用机械钥匙。</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7.5</w:t>
            </w:r>
          </w:p>
        </w:tc>
        <w:tc>
          <w:tcPr>
            <w:tcW w:w="14023" w:type="dxa"/>
            <w:gridSpan w:val="3"/>
            <w:tcMar>
              <w:left w:w="45" w:type="dxa"/>
              <w:right w:w="45" w:type="dxa"/>
            </w:tcMar>
            <w:vAlign w:val="center"/>
          </w:tcPr>
          <w:p>
            <w:pPr>
              <w:widowControl/>
              <w:spacing w:line="300" w:lineRule="exact"/>
              <w:rPr>
                <w:rFonts w:hint="eastAsia" w:ascii="宋体" w:hAnsi="宋体" w:eastAsia="宋体" w:cs="宋体"/>
                <w:b/>
                <w:szCs w:val="21"/>
              </w:rPr>
            </w:pPr>
            <w:r>
              <w:rPr>
                <w:rFonts w:hint="eastAsia" w:ascii="宋体" w:hAnsi="宋体" w:eastAsia="宋体" w:cs="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7.5.1</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有防爆需求的实验室须符合防爆设计要求</w:t>
            </w:r>
          </w:p>
        </w:tc>
        <w:tc>
          <w:tcPr>
            <w:tcW w:w="766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（91）安装有防爆开关、防爆灯等，安装必要的气体报警系统、监控系统、应急系统等。</w:t>
            </w:r>
          </w:p>
          <w:p>
            <w:pPr>
              <w:widowControl/>
              <w:spacing w:line="300" w:lineRule="exact"/>
              <w:rPr>
                <w:rFonts w:hint="eastAsia" w:ascii="宋体" w:hAnsi="宋体" w:eastAsia="宋体" w:cs="宋体"/>
                <w:szCs w:val="21"/>
              </w:rPr>
            </w:pPr>
            <w:r>
              <w:rPr>
                <w:rFonts w:hint="eastAsia" w:ascii="宋体" w:hAnsi="宋体" w:eastAsia="宋体" w:cs="宋体"/>
                <w:szCs w:val="21"/>
              </w:rPr>
              <w:t>（92）可燃气体管道，应科学选用和安装阻火器。</w:t>
            </w:r>
          </w:p>
          <w:p>
            <w:pPr>
              <w:widowControl/>
              <w:spacing w:line="300" w:lineRule="exact"/>
              <w:rPr>
                <w:rFonts w:hint="eastAsia" w:ascii="宋体" w:hAnsi="宋体" w:eastAsia="宋体" w:cs="宋体"/>
                <w:bCs/>
                <w:kern w:val="0"/>
                <w:szCs w:val="21"/>
              </w:rPr>
            </w:pPr>
            <w:r>
              <w:rPr>
                <w:rFonts w:hint="eastAsia" w:ascii="宋体" w:hAnsi="宋体" w:eastAsia="宋体" w:cs="宋体"/>
                <w:szCs w:val="21"/>
              </w:rPr>
              <w:t>（93）采取有效措施，避免或减少出现危险爆炸性环境，避免出现任何潜在的有效点燃源。</w:t>
            </w:r>
          </w:p>
        </w:tc>
        <w:tc>
          <w:tcPr>
            <w:tcW w:w="2543" w:type="dxa"/>
            <w:tcMar>
              <w:left w:w="45" w:type="dxa"/>
              <w:right w:w="45" w:type="dxa"/>
            </w:tcMar>
            <w:vAlign w:val="center"/>
          </w:tcPr>
          <w:p>
            <w:pPr>
              <w:widowControl/>
              <w:spacing w:line="30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7.5.2</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应妥善防护具有爆炸危险性的仪器设备</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szCs w:val="21"/>
              </w:rPr>
              <w:t>（94）使用适合的安全罩防护。</w:t>
            </w:r>
          </w:p>
        </w:tc>
        <w:tc>
          <w:tcPr>
            <w:tcW w:w="2543" w:type="dxa"/>
            <w:tcMar>
              <w:left w:w="45" w:type="dxa"/>
              <w:right w:w="45" w:type="dxa"/>
            </w:tcMar>
            <w:vAlign w:val="center"/>
          </w:tcPr>
          <w:p>
            <w:pPr>
              <w:widowControl/>
              <w:spacing w:line="300" w:lineRule="exac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8</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8.1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8.1.1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实验室用电安全应符合国家标准（导则）和行业标准</w:t>
            </w:r>
          </w:p>
        </w:tc>
        <w:tc>
          <w:tcPr>
            <w:tcW w:w="766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（95）实验室配电容量、插头插座与用电设备功率须匹配，不得私自改装。</w:t>
            </w:r>
          </w:p>
          <w:p>
            <w:pPr>
              <w:rPr>
                <w:rFonts w:hint="eastAsia" w:ascii="宋体" w:hAnsi="宋体" w:eastAsia="宋体" w:cs="宋体"/>
                <w:kern w:val="0"/>
                <w:szCs w:val="21"/>
              </w:rPr>
            </w:pPr>
            <w:r>
              <w:rPr>
                <w:rFonts w:hint="eastAsia" w:ascii="宋体" w:hAnsi="宋体" w:eastAsia="宋体" w:cs="宋体"/>
                <w:kern w:val="0"/>
                <w:szCs w:val="21"/>
              </w:rPr>
              <w:t>（96）电源插座须有效固定。</w:t>
            </w:r>
          </w:p>
          <w:p>
            <w:pPr>
              <w:rPr>
                <w:rFonts w:hint="eastAsia" w:ascii="宋体" w:hAnsi="宋体" w:eastAsia="宋体" w:cs="宋体"/>
                <w:kern w:val="0"/>
                <w:szCs w:val="21"/>
              </w:rPr>
            </w:pPr>
            <w:r>
              <w:rPr>
                <w:rFonts w:hint="eastAsia" w:ascii="宋体" w:hAnsi="宋体" w:eastAsia="宋体" w:cs="宋体"/>
                <w:kern w:val="0"/>
                <w:szCs w:val="21"/>
              </w:rPr>
              <w:t>（97）电气设备应配备空气开关和漏电保护器。</w:t>
            </w:r>
          </w:p>
          <w:p>
            <w:pPr>
              <w:rPr>
                <w:rFonts w:hint="eastAsia" w:ascii="宋体" w:hAnsi="宋体" w:eastAsia="宋体" w:cs="宋体"/>
                <w:kern w:val="0"/>
              </w:rPr>
            </w:pPr>
            <w:r>
              <w:rPr>
                <w:rFonts w:hint="eastAsia" w:ascii="宋体" w:hAnsi="宋体" w:eastAsia="宋体" w:cs="宋体"/>
                <w:kern w:val="0"/>
                <w:szCs w:val="21"/>
              </w:rPr>
              <w:t>（98）不私自乱拉乱接电线电缆，禁止多个接线板串接供电，接线板不宜直接置于地面。</w:t>
            </w:r>
          </w:p>
          <w:p>
            <w:pPr>
              <w:rPr>
                <w:rFonts w:hint="eastAsia" w:ascii="宋体" w:hAnsi="宋体" w:eastAsia="宋体" w:cs="宋体"/>
                <w:kern w:val="0"/>
              </w:rPr>
            </w:pPr>
            <w:r>
              <w:rPr>
                <w:rFonts w:hint="eastAsia" w:ascii="宋体" w:hAnsi="宋体" w:eastAsia="宋体" w:cs="宋体"/>
                <w:kern w:val="0"/>
              </w:rPr>
              <w:t>（99）禁止使用老化的线缆、花线、木质配电板、有破损的接线板，电线接头绝缘可靠，无裸露连接线，穿越通道的线缆应有盖板或护套，不使用老国标接线板、插座。</w:t>
            </w:r>
          </w:p>
          <w:p>
            <w:pPr>
              <w:rPr>
                <w:rFonts w:hint="eastAsia" w:ascii="宋体" w:hAnsi="宋体" w:eastAsia="宋体" w:cs="宋体"/>
                <w:kern w:val="0"/>
                <w:szCs w:val="21"/>
              </w:rPr>
            </w:pPr>
            <w:r>
              <w:rPr>
                <w:rFonts w:hint="eastAsia" w:ascii="宋体" w:hAnsi="宋体" w:eastAsia="宋体" w:cs="宋体"/>
                <w:kern w:val="0"/>
                <w:szCs w:val="21"/>
              </w:rPr>
              <w:t>（100）大功率仪器（包括空调等）使用专用插座。</w:t>
            </w:r>
          </w:p>
          <w:p>
            <w:pPr>
              <w:rPr>
                <w:rFonts w:hint="eastAsia" w:ascii="宋体" w:hAnsi="宋体" w:eastAsia="宋体" w:cs="宋体"/>
                <w:kern w:val="0"/>
                <w:szCs w:val="21"/>
              </w:rPr>
            </w:pPr>
            <w:r>
              <w:rPr>
                <w:rFonts w:hint="eastAsia" w:ascii="宋体" w:hAnsi="宋体" w:eastAsia="宋体" w:cs="宋体"/>
                <w:kern w:val="0"/>
                <w:szCs w:val="21"/>
              </w:rPr>
              <w:t>（101）电器长期不用时，应切断电源。</w:t>
            </w:r>
          </w:p>
          <w:p>
            <w:pPr>
              <w:rPr>
                <w:rFonts w:hint="eastAsia" w:ascii="宋体" w:hAnsi="宋体" w:eastAsia="宋体" w:cs="宋体"/>
                <w:bCs/>
                <w:kern w:val="0"/>
                <w:szCs w:val="21"/>
              </w:rPr>
            </w:pPr>
            <w:r>
              <w:rPr>
                <w:rFonts w:hint="eastAsia" w:ascii="宋体" w:hAnsi="宋体" w:eastAsia="宋体" w:cs="宋体"/>
                <w:kern w:val="0"/>
                <w:szCs w:val="21"/>
              </w:rPr>
              <w:t>（102）配电箱前不应有物品遮挡并便于操作，周围不应放置烘箱、电炉、易燃易爆气瓶、易燃易爆化学试剂、废液桶等；配电箱的金属箱体应与箱内保护零线或保护地线可靠连接。</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8.1.2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给水、排水系统布置合理，运行正常</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（103）水槽、地漏及下水道畅通，水龙头、上下水管无破损。</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（104）各类连接管无老化破损（特别是冷却冷凝系统的橡胶管接口处）。</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（105）各楼层及实验室的各级水管总阀须有明显的标识。</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8.2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个体防护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8.2.1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实验人员须配备合适的个人防护用品</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（106）进入实验室人员须穿着质地合适的实验服或防护服。</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（107）按需要佩戴防护眼镜、防护手套、安全帽、防护帽、呼吸器或面罩（呼吸器或面罩在有效期内，不用时须密封放置）等。</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（108）进行化学、生物安全和高温实验时，谨慎佩戴隐形眼镜。</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（109）操作机床等旋转设备时，不得穿戴长围巾、丝巾、领带等，长发须盘在工作帽内。</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（110）穿着化学、生物类实验服或戴实验手套，不得随意进入非实验区。</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8.2.2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个人防护用品合理存放，存放地点有明显标识</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（111）在紧急情况须使用的个人防护器具应分散存放在安全场所，以便于取用。</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8.2.3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（112）检查培训及维护记录。</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b/>
                <w:bCs/>
                <w:kern w:val="0"/>
                <w:szCs w:val="21"/>
              </w:rPr>
              <w:t>8.3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8.3.1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（113）实验时不能脱岗，通宵实验须两人在场并有事先审批制度。</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8.3.2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实验台面整洁、实验记录规范</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（114）查看实验台面和实验记录。</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9</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b/>
                <w:bCs/>
                <w:kern w:val="0"/>
                <w:szCs w:val="21"/>
              </w:rPr>
              <w:t>9.1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危险化学品储存区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9.1.1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学校建有危险化学品储存区并规范管理</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（115）危险化学品储存区须有通风、隔热、避光、防盗、防爆、防静电、泄露报警、应急喷淋、安全警示标识等措施，符合相关规定，专人管理。</w:t>
            </w:r>
          </w:p>
          <w:p>
            <w:pPr>
              <w:widowControl/>
              <w:spacing w:line="300" w:lineRule="exact"/>
              <w:rPr>
                <w:rFonts w:hint="eastAsia" w:ascii="宋体" w:hAnsi="宋体" w:eastAsia="宋体" w:cs="宋体"/>
                <w:szCs w:val="21"/>
              </w:rPr>
            </w:pPr>
            <w:r>
              <w:rPr>
                <w:rFonts w:hint="eastAsia" w:ascii="宋体" w:hAnsi="宋体" w:eastAsia="宋体" w:cs="宋体"/>
                <w:kern w:val="0"/>
                <w:szCs w:val="21"/>
              </w:rPr>
              <w:t>（116）危险化学品储存区的消防</w:t>
            </w:r>
            <w:r>
              <w:rPr>
                <w:rFonts w:hint="eastAsia" w:ascii="宋体" w:hAnsi="宋体" w:eastAsia="宋体" w:cs="宋体"/>
                <w:szCs w:val="21"/>
              </w:rPr>
              <w:t>设施符合国家相关规定，正确配备灭火器材（如灭火器、灭火毯、砂箱、自动喷淋等）。</w:t>
            </w:r>
          </w:p>
          <w:p>
            <w:pPr>
              <w:widowControl/>
              <w:spacing w:line="300" w:lineRule="exact"/>
              <w:rPr>
                <w:rFonts w:hint="eastAsia" w:ascii="宋体" w:hAnsi="宋体" w:eastAsia="宋体" w:cs="宋体"/>
                <w:kern w:val="0"/>
                <w:szCs w:val="21"/>
              </w:rPr>
            </w:pPr>
            <w:r>
              <w:rPr>
                <w:rFonts w:hint="eastAsia" w:ascii="宋体" w:hAnsi="宋体" w:eastAsia="宋体" w:cs="宋体"/>
                <w:szCs w:val="21"/>
              </w:rPr>
              <w:t>（117）</w:t>
            </w:r>
            <w:r>
              <w:rPr>
                <w:rFonts w:hint="eastAsia" w:ascii="宋体" w:hAnsi="宋体" w:eastAsia="宋体" w:cs="宋体"/>
                <w:kern w:val="0"/>
                <w:szCs w:val="21"/>
              </w:rPr>
              <w:t>危险化学品储存区不能建设在地下或半地下，不得建设在实验楼内。若只能在实验楼内存放，则应按照实验室的标准要求（见9.3实验室化学品的存放）。</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（118）危险化学品储存区的试剂不混放，整箱试剂的叠加高度不大于1.5米。</w:t>
            </w:r>
          </w:p>
        </w:tc>
        <w:tc>
          <w:tcPr>
            <w:tcW w:w="2543" w:type="dxa"/>
            <w:tcMar>
              <w:left w:w="45" w:type="dxa"/>
              <w:right w:w="45" w:type="dxa"/>
            </w:tcMar>
            <w:vAlign w:val="center"/>
          </w:tcPr>
          <w:p>
            <w:pPr>
              <w:widowControl/>
              <w:spacing w:line="300" w:lineRule="exact"/>
              <w:jc w:val="lef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9.2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9.2.1</w:t>
            </w:r>
          </w:p>
        </w:tc>
        <w:tc>
          <w:tcPr>
            <w:tcW w:w="382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kern w:val="0"/>
                <w:szCs w:val="21"/>
              </w:rPr>
              <w:t>危险化学品采购须符合要求</w:t>
            </w:r>
          </w:p>
        </w:tc>
        <w:tc>
          <w:tcPr>
            <w:tcW w:w="766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kern w:val="0"/>
                <w:szCs w:val="21"/>
              </w:rPr>
              <w:t>（119）危险化学品须向具有生产经营许可资质的单位进行购买，查看相关供应商的经营许可资质证书复印件。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9.2.2</w:t>
            </w:r>
          </w:p>
        </w:tc>
        <w:tc>
          <w:tcPr>
            <w:tcW w:w="382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kern w:val="0"/>
                <w:szCs w:val="21"/>
              </w:rPr>
              <w:t>剧毒品、易制爆品、易制毒品、爆炸品的购买程序合规</w:t>
            </w:r>
          </w:p>
        </w:tc>
        <w:tc>
          <w:tcPr>
            <w:tcW w:w="766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kern w:val="0"/>
                <w:szCs w:val="21"/>
              </w:rPr>
              <w:t>（120）购买前须经学校审批，报公安部门批准或备案后，向具有经营许可资质的单位购买，并保留报批及审批记录。</w:t>
            </w:r>
          </w:p>
          <w:p>
            <w:pPr>
              <w:spacing w:line="300" w:lineRule="exact"/>
              <w:rPr>
                <w:rFonts w:hint="eastAsia" w:ascii="宋体" w:hAnsi="宋体" w:eastAsia="宋体" w:cs="宋体"/>
                <w:kern w:val="0"/>
                <w:szCs w:val="21"/>
              </w:rPr>
            </w:pPr>
            <w:r>
              <w:rPr>
                <w:rFonts w:hint="eastAsia" w:ascii="宋体" w:hAnsi="宋体" w:eastAsia="宋体" w:cs="宋体"/>
                <w:kern w:val="0"/>
                <w:szCs w:val="21"/>
              </w:rPr>
              <w:t>（121）建立购买、验收、使用等台账资料。</w:t>
            </w:r>
          </w:p>
          <w:p>
            <w:pPr>
              <w:spacing w:line="300" w:lineRule="exact"/>
              <w:rPr>
                <w:rFonts w:hint="eastAsia" w:ascii="宋体" w:hAnsi="宋体" w:eastAsia="宋体" w:cs="宋体"/>
                <w:b/>
                <w:bCs/>
                <w:kern w:val="0"/>
                <w:szCs w:val="21"/>
              </w:rPr>
            </w:pPr>
            <w:r>
              <w:rPr>
                <w:rFonts w:hint="eastAsia" w:ascii="宋体" w:hAnsi="宋体" w:eastAsia="宋体" w:cs="宋体"/>
                <w:kern w:val="0"/>
                <w:szCs w:val="21"/>
              </w:rPr>
              <w:t>（122）不得私自从外单位获取管制类化学品，也不得给外单位或个人提供管制化学品。</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9.2.3</w:t>
            </w:r>
          </w:p>
        </w:tc>
        <w:tc>
          <w:tcPr>
            <w:tcW w:w="382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hint="eastAsia" w:ascii="宋体" w:hAnsi="宋体" w:eastAsia="宋体" w:cs="宋体"/>
                <w:b/>
                <w:bCs/>
                <w:kern w:val="0"/>
                <w:szCs w:val="21"/>
              </w:rPr>
            </w:pPr>
            <w:r>
              <w:rPr>
                <w:rFonts w:hint="eastAsia" w:ascii="宋体" w:hAnsi="宋体" w:eastAsia="宋体" w:cs="宋体"/>
                <w:kern w:val="0"/>
                <w:szCs w:val="21"/>
              </w:rPr>
              <w:t>（123）报批同意后向定点供应商或者定点生产企业采购。</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9.2.4</w:t>
            </w:r>
          </w:p>
        </w:tc>
        <w:tc>
          <w:tcPr>
            <w:tcW w:w="3820" w:type="dxa"/>
            <w:tcMar>
              <w:left w:w="45" w:type="dxa"/>
              <w:right w:w="45" w:type="dxa"/>
            </w:tcMar>
            <w:vAlign w:val="center"/>
          </w:tcPr>
          <w:p>
            <w:pPr>
              <w:autoSpaceDE w:val="0"/>
              <w:autoSpaceDN w:val="0"/>
              <w:adjustRightInd w:val="0"/>
              <w:spacing w:line="300" w:lineRule="exact"/>
              <w:rPr>
                <w:rFonts w:hint="eastAsia" w:ascii="宋体" w:hAnsi="宋体" w:eastAsia="宋体" w:cs="宋体"/>
                <w:kern w:val="0"/>
                <w:szCs w:val="21"/>
              </w:rPr>
            </w:pPr>
            <w:r>
              <w:rPr>
                <w:rFonts w:hint="eastAsia" w:ascii="宋体" w:hAnsi="宋体" w:eastAsia="宋体" w:cs="宋体"/>
                <w:kern w:val="0"/>
                <w:szCs w:val="21"/>
              </w:rPr>
              <w:t>校内危险化学品的运输安全</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（124）现场抽查，校园内的运输车辆、运送人员、送货方式等符合相关规范。</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9.3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9.3.1</w:t>
            </w:r>
          </w:p>
        </w:tc>
        <w:tc>
          <w:tcPr>
            <w:tcW w:w="3820"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kern w:val="0"/>
                <w:szCs w:val="21"/>
              </w:rPr>
              <w:t>实验室内危险化学品建有动态台账</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（125）建立实验室危险化学品动态台账，并有危险化学品安全技术说明书（SDS）或安全周知卡，方便查阅。</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（126）定期清理废旧试剂，无累积现象。</w:t>
            </w:r>
          </w:p>
        </w:tc>
        <w:tc>
          <w:tcPr>
            <w:tcW w:w="2543" w:type="dxa"/>
            <w:tcMar>
              <w:left w:w="45" w:type="dxa"/>
              <w:right w:w="45" w:type="dxa"/>
            </w:tcMar>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9.3.2</w:t>
            </w:r>
          </w:p>
        </w:tc>
        <w:tc>
          <w:tcPr>
            <w:tcW w:w="382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化学品有专用存放空间并科学有序存放</w:t>
            </w:r>
          </w:p>
        </w:tc>
        <w:tc>
          <w:tcPr>
            <w:tcW w:w="7660" w:type="dxa"/>
            <w:tcMar>
              <w:left w:w="45" w:type="dxa"/>
              <w:right w:w="45" w:type="dxa"/>
            </w:tcMar>
            <w:vAlign w:val="center"/>
          </w:tcPr>
          <w:p>
            <w:pPr>
              <w:widowControl/>
              <w:rPr>
                <w:rFonts w:hint="eastAsia" w:ascii="宋体" w:hAnsi="宋体" w:eastAsia="宋体" w:cs="宋体"/>
                <w:kern w:val="0"/>
              </w:rPr>
            </w:pPr>
            <w:r>
              <w:rPr>
                <w:rFonts w:hint="eastAsia" w:ascii="宋体" w:hAnsi="宋体" w:eastAsia="宋体" w:cs="宋体"/>
              </w:rPr>
              <w:t>（127）储藏室、储藏区、储存柜等</w:t>
            </w:r>
            <w:r>
              <w:rPr>
                <w:rFonts w:hint="eastAsia" w:ascii="宋体" w:hAnsi="宋体" w:eastAsia="宋体" w:cs="宋体"/>
                <w:bCs/>
                <w:kern w:val="0"/>
              </w:rPr>
              <w:t>应</w:t>
            </w:r>
            <w:r>
              <w:rPr>
                <w:rFonts w:hint="eastAsia" w:ascii="宋体" w:hAnsi="宋体" w:eastAsia="宋体" w:cs="宋体"/>
                <w:kern w:val="0"/>
              </w:rPr>
              <w:t>通风、隔热、避免阳光直射。</w:t>
            </w:r>
          </w:p>
          <w:p>
            <w:pPr>
              <w:widowControl/>
              <w:rPr>
                <w:rFonts w:hint="eastAsia" w:ascii="宋体" w:hAnsi="宋体" w:eastAsia="宋体" w:cs="宋体"/>
                <w:kern w:val="0"/>
              </w:rPr>
            </w:pPr>
            <w:r>
              <w:rPr>
                <w:rFonts w:hint="eastAsia" w:ascii="宋体" w:hAnsi="宋体" w:eastAsia="宋体" w:cs="宋体"/>
                <w:kern w:val="0"/>
              </w:rPr>
              <w:t>（128）易泄漏、易挥发的试剂存放设备与地点应保证充足的通风。</w:t>
            </w:r>
          </w:p>
          <w:p>
            <w:pPr>
              <w:widowControl/>
              <w:rPr>
                <w:rFonts w:hint="eastAsia" w:ascii="宋体" w:hAnsi="宋体" w:eastAsia="宋体" w:cs="宋体"/>
                <w:kern w:val="0"/>
              </w:rPr>
            </w:pPr>
            <w:r>
              <w:rPr>
                <w:rFonts w:hint="eastAsia" w:ascii="宋体" w:hAnsi="宋体" w:eastAsia="宋体" w:cs="宋体"/>
                <w:kern w:val="0"/>
              </w:rPr>
              <w:t>（129）试剂柜中不能有电源插座或接线板。</w:t>
            </w:r>
          </w:p>
          <w:p>
            <w:pPr>
              <w:widowControl/>
              <w:rPr>
                <w:rFonts w:hint="eastAsia" w:ascii="宋体" w:hAnsi="宋体" w:eastAsia="宋体" w:cs="宋体"/>
                <w:kern w:val="0"/>
              </w:rPr>
            </w:pPr>
            <w:r>
              <w:rPr>
                <w:rFonts w:hint="eastAsia" w:ascii="宋体" w:hAnsi="宋体" w:eastAsia="宋体" w:cs="宋体"/>
                <w:kern w:val="0"/>
              </w:rPr>
              <w:t>（130）化学品有序分类存放，固体液体不混乱放置，互为禁忌的化学品不得混放，试剂不得叠放。有机溶剂储存区应远离热源和火源。装有试剂的试剂瓶不得开口放置。实验台架无挡板不得存放化学试剂。</w:t>
            </w:r>
          </w:p>
          <w:p>
            <w:pPr>
              <w:widowControl/>
              <w:rPr>
                <w:rFonts w:hint="eastAsia" w:ascii="宋体" w:hAnsi="宋体" w:eastAsia="宋体" w:cs="宋体"/>
                <w:kern w:val="0"/>
              </w:rPr>
            </w:pPr>
            <w:r>
              <w:rPr>
                <w:rFonts w:hint="eastAsia" w:ascii="宋体" w:hAnsi="宋体" w:eastAsia="宋体" w:cs="宋体"/>
                <w:kern w:val="0"/>
              </w:rPr>
              <w:t>（131）配备必要的二次泄漏防护、吸附或防溢流功能。</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9.3.3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实验室内存放的危险化学品总量符合规定要求</w:t>
            </w:r>
          </w:p>
        </w:tc>
        <w:tc>
          <w:tcPr>
            <w:tcW w:w="7660" w:type="dxa"/>
            <w:tcMar>
              <w:left w:w="45" w:type="dxa"/>
              <w:right w:w="45" w:type="dxa"/>
            </w:tcMar>
            <w:vAlign w:val="center"/>
          </w:tcPr>
          <w:p>
            <w:pPr>
              <w:rPr>
                <w:rFonts w:hint="eastAsia" w:ascii="宋体" w:hAnsi="宋体" w:eastAsia="宋体" w:cs="宋体"/>
                <w:kern w:val="0"/>
              </w:rPr>
            </w:pPr>
            <w:r>
              <w:rPr>
                <w:rFonts w:hint="eastAsia" w:ascii="宋体" w:hAnsi="宋体" w:eastAsia="宋体" w:cs="宋体"/>
                <w:kern w:val="0"/>
                <w:szCs w:val="21"/>
              </w:rPr>
              <w:t>（132）危险化学品（不含压缩气体和液化气体）原则上不应超过100公升或100千克，其中易燃易爆性化学品的存放总量不应超过50公升或50千克，且单一包装容器不应大于20公升或20千克</w:t>
            </w:r>
            <w:r>
              <w:rPr>
                <w:rFonts w:hint="eastAsia" w:ascii="宋体" w:hAnsi="宋体" w:eastAsia="宋体" w:cs="宋体"/>
                <w:kern w:val="0"/>
              </w:rPr>
              <w:t>（</w:t>
            </w:r>
            <w:r>
              <w:rPr>
                <w:rFonts w:hint="eastAsia" w:ascii="宋体" w:hAnsi="宋体" w:eastAsia="宋体" w:cs="宋体"/>
                <w:bCs/>
                <w:kern w:val="0"/>
              </w:rPr>
              <w:t>按</w:t>
            </w:r>
            <w:r>
              <w:rPr>
                <w:rFonts w:hint="eastAsia" w:ascii="宋体" w:hAnsi="宋体" w:eastAsia="宋体" w:cs="宋体"/>
                <w:kern w:val="0"/>
              </w:rPr>
              <w:t>50平方米</w:t>
            </w:r>
            <w:r>
              <w:rPr>
                <w:rFonts w:hint="eastAsia" w:ascii="宋体" w:hAnsi="宋体" w:eastAsia="宋体" w:cs="宋体"/>
                <w:bCs/>
                <w:kern w:val="0"/>
              </w:rPr>
              <w:t>为</w:t>
            </w:r>
            <w:r>
              <w:rPr>
                <w:rFonts w:hint="eastAsia" w:ascii="宋体" w:hAnsi="宋体" w:eastAsia="宋体" w:cs="宋体"/>
                <w:kern w:val="0"/>
              </w:rPr>
              <w:t>标准，存放量以</w:t>
            </w:r>
            <w:r>
              <w:rPr>
                <w:rFonts w:hint="eastAsia" w:ascii="宋体" w:hAnsi="宋体" w:eastAsia="宋体" w:cs="宋体"/>
                <w:bCs/>
                <w:kern w:val="0"/>
              </w:rPr>
              <w:t>实验室</w:t>
            </w:r>
            <w:r>
              <w:rPr>
                <w:rFonts w:hint="eastAsia" w:ascii="宋体" w:hAnsi="宋体" w:eastAsia="宋体" w:cs="宋体"/>
                <w:kern w:val="0"/>
              </w:rPr>
              <w:t>面积比考量）。</w:t>
            </w:r>
          </w:p>
          <w:p>
            <w:pPr>
              <w:rPr>
                <w:rFonts w:hint="eastAsia" w:ascii="宋体" w:hAnsi="宋体" w:eastAsia="宋体" w:cs="宋体"/>
                <w:kern w:val="0"/>
              </w:rPr>
            </w:pPr>
            <w:r>
              <w:rPr>
                <w:rFonts w:hint="eastAsia" w:ascii="宋体" w:hAnsi="宋体" w:eastAsia="宋体" w:cs="宋体"/>
                <w:kern w:val="0"/>
              </w:rPr>
              <w:t>（133）常年大量使用易燃易爆溶剂或气体须加装泄露报警器；储存部位应加装常时排风，或与检测报警联动排风装置。</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9.3.4</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化学品标签应显著完整清晰</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（134）化学品包装物上须有符合规定的化学品标签。</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（135）当化学品由原包装物转移或分装到其他包装物内时，转移或分装后的包装物应及时重新粘贴标识。化学品标签脱落、</w:t>
            </w:r>
            <w:r>
              <w:rPr>
                <w:rFonts w:hint="eastAsia" w:ascii="宋体" w:hAnsi="宋体" w:eastAsia="宋体" w:cs="宋体"/>
                <w:bCs/>
                <w:kern w:val="0"/>
                <w:szCs w:val="21"/>
              </w:rPr>
              <w:t>模糊、腐蚀</w:t>
            </w:r>
            <w:r>
              <w:rPr>
                <w:rFonts w:hint="eastAsia" w:ascii="宋体" w:hAnsi="宋体" w:eastAsia="宋体" w:cs="宋体"/>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9.3.5</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bCs/>
                <w:kern w:val="0"/>
                <w:szCs w:val="21"/>
              </w:rPr>
              <w:t>其他化学品存放问题</w:t>
            </w:r>
          </w:p>
        </w:tc>
        <w:tc>
          <w:tcPr>
            <w:tcW w:w="7660" w:type="dxa"/>
            <w:tcMar>
              <w:left w:w="45" w:type="dxa"/>
              <w:right w:w="45" w:type="dxa"/>
            </w:tcMar>
            <w:vAlign w:val="center"/>
          </w:tcPr>
          <w:p>
            <w:pPr>
              <w:widowControl/>
              <w:rPr>
                <w:rFonts w:hint="eastAsia" w:ascii="宋体" w:hAnsi="宋体" w:eastAsia="宋体" w:cs="宋体"/>
                <w:kern w:val="0"/>
              </w:rPr>
            </w:pPr>
            <w:r>
              <w:rPr>
                <w:rFonts w:hint="eastAsia" w:ascii="宋体" w:hAnsi="宋体" w:eastAsia="宋体" w:cs="宋体"/>
                <w:kern w:val="0"/>
              </w:rPr>
              <w:t>（136）装有配制试剂、合成品、样品等的容器上标签信息明确，标签信息包括名称或编号、使用人、日期等。</w:t>
            </w:r>
          </w:p>
          <w:p>
            <w:pPr>
              <w:widowControl/>
              <w:rPr>
                <w:rFonts w:hint="eastAsia" w:ascii="宋体" w:hAnsi="宋体" w:eastAsia="宋体" w:cs="宋体"/>
                <w:kern w:val="0"/>
              </w:rPr>
            </w:pPr>
            <w:r>
              <w:rPr>
                <w:rFonts w:hint="eastAsia" w:ascii="宋体" w:hAnsi="宋体" w:eastAsia="宋体" w:cs="宋体"/>
                <w:kern w:val="0"/>
              </w:rPr>
              <w:t>（137）无使用饮料瓶存放试剂、样品的现象，如确需使用，必须撕去原包装纸，贴上试剂标签。</w:t>
            </w:r>
          </w:p>
          <w:p>
            <w:pPr>
              <w:widowControl/>
              <w:rPr>
                <w:rFonts w:hint="eastAsia" w:ascii="宋体" w:hAnsi="宋体" w:eastAsia="宋体" w:cs="宋体"/>
                <w:bCs/>
                <w:kern w:val="0"/>
                <w:szCs w:val="21"/>
              </w:rPr>
            </w:pPr>
            <w:r>
              <w:rPr>
                <w:rFonts w:hint="eastAsia" w:ascii="宋体" w:hAnsi="宋体" w:eastAsia="宋体" w:cs="宋体"/>
                <w:bCs/>
                <w:kern w:val="0"/>
                <w:szCs w:val="21"/>
              </w:rPr>
              <w:t>（138）</w:t>
            </w:r>
            <w:r>
              <w:rPr>
                <w:rFonts w:hint="eastAsia" w:ascii="宋体" w:hAnsi="宋体" w:eastAsia="宋体" w:cs="宋体"/>
                <w:kern w:val="0"/>
                <w:szCs w:val="21"/>
              </w:rPr>
              <w:t>不使用破损量筒、试管、移液管等玻璃器皿</w:t>
            </w:r>
            <w:r>
              <w:rPr>
                <w:rFonts w:hint="eastAsia" w:ascii="宋体" w:hAnsi="宋体" w:eastAsia="宋体" w:cs="宋体"/>
                <w:bCs/>
                <w:kern w:val="0"/>
                <w:szCs w:val="21"/>
              </w:rPr>
              <w:t>。</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9.4</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9.4.1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（139）指导书和预案上墙或便于取阅，实验人员熟悉所涉及的危险性及应急处理措施，按照指导书进行实验。</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9.4.2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（140）涉及危险化工工艺、重点监管危险化学品的反应装置应设置自动化控制系统。</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（141）涉及放热反应的危险化工工艺生产装置应设置双重电源供电或控制系统应配置不间断电源。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9.4.3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做好有毒有害废气的处理和防护</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（142）对于产生有毒有害废气的实验，须在通风柜中进行，并在实验装置尾端配有气体吸收装置，操作者佩戴合适有效的呼吸防护用具。</w:t>
            </w:r>
          </w:p>
        </w:tc>
        <w:tc>
          <w:tcPr>
            <w:tcW w:w="2543" w:type="dxa"/>
            <w:tcMar>
              <w:left w:w="45" w:type="dxa"/>
              <w:right w:w="45" w:type="dxa"/>
            </w:tcMar>
            <w:vAlign w:val="center"/>
          </w:tcPr>
          <w:p>
            <w:pPr>
              <w:widowControl/>
              <w:spacing w:line="300" w:lineRule="exac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9.5</w:t>
            </w:r>
          </w:p>
        </w:tc>
        <w:tc>
          <w:tcPr>
            <w:tcW w:w="14023" w:type="dxa"/>
            <w:gridSpan w:val="3"/>
            <w:tcMar>
              <w:left w:w="45" w:type="dxa"/>
              <w:right w:w="45" w:type="dxa"/>
            </w:tcMar>
            <w:vAlign w:val="center"/>
          </w:tcPr>
          <w:p>
            <w:pPr>
              <w:spacing w:line="300" w:lineRule="exact"/>
              <w:rPr>
                <w:rFonts w:hint="eastAsia" w:ascii="宋体" w:hAnsi="宋体" w:eastAsia="宋体" w:cs="宋体"/>
                <w:b/>
                <w:szCs w:val="21"/>
              </w:rPr>
            </w:pPr>
            <w:r>
              <w:rPr>
                <w:rFonts w:hint="eastAsia" w:ascii="宋体" w:hAnsi="宋体" w:eastAsia="宋体" w:cs="宋体"/>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9.5.1</w:t>
            </w:r>
          </w:p>
        </w:tc>
        <w:tc>
          <w:tcPr>
            <w:tcW w:w="382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kern w:val="0"/>
                <w:szCs w:val="21"/>
              </w:rPr>
              <w:t>剧毒化学品执行“五双”管理（即双人验收、双人保管、双人发货、双把锁、双本账），技防措施符合管制要求</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（143）单独存放、不得与易燃、易爆、腐蚀性物品等一起存放。</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（144）有专人管理并做好贮存、领取、发放情况登记，登记资料至少保存1年。</w:t>
            </w:r>
          </w:p>
          <w:p>
            <w:pPr>
              <w:rPr>
                <w:rFonts w:hint="eastAsia" w:ascii="宋体" w:hAnsi="宋体" w:eastAsia="宋体" w:cs="宋体"/>
              </w:rPr>
            </w:pPr>
            <w:r>
              <w:rPr>
                <w:rFonts w:hint="eastAsia" w:ascii="宋体" w:hAnsi="宋体" w:eastAsia="宋体" w:cs="宋体"/>
                <w:kern w:val="0"/>
                <w:szCs w:val="21"/>
              </w:rPr>
              <w:t>（145）防盗安全门应符合GB 17565的要求，防盗安全级别为乙级（含）以上，防盗锁应符合GA/T 73的要求，防盗保险柜应符合《防盗保险柜》GB 10409的要求，监控管控执行公安要求。</w:t>
            </w:r>
          </w:p>
        </w:tc>
        <w:tc>
          <w:tcPr>
            <w:tcW w:w="2543" w:type="dxa"/>
            <w:tcMar>
              <w:left w:w="45" w:type="dxa"/>
              <w:right w:w="45" w:type="dxa"/>
            </w:tcMar>
            <w:vAlign w:val="center"/>
          </w:tcPr>
          <w:p>
            <w:pPr>
              <w:widowControl/>
              <w:spacing w:line="300" w:lineRule="exact"/>
              <w:rPr>
                <w:rFonts w:hint="eastAsia"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9.5.2</w:t>
            </w:r>
          </w:p>
        </w:tc>
        <w:tc>
          <w:tcPr>
            <w:tcW w:w="382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kern w:val="0"/>
                <w:szCs w:val="21"/>
              </w:rPr>
              <w:t>易制毒化学品储存规范，台账清晰</w:t>
            </w:r>
          </w:p>
          <w:p>
            <w:pPr>
              <w:widowControl/>
              <w:spacing w:line="300" w:lineRule="exact"/>
              <w:rPr>
                <w:rFonts w:hint="eastAsia" w:ascii="宋体" w:hAnsi="宋体" w:eastAsia="宋体" w:cs="宋体"/>
                <w:kern w:val="0"/>
                <w:szCs w:val="21"/>
              </w:rPr>
            </w:pP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（146）应设置专用存储区或者专柜储存并有防盗措施。</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（147）第一类易制毒化学品、药品类易制毒化学品实行双人双锁管理，账册保存期限不少于2年。</w:t>
            </w:r>
          </w:p>
        </w:tc>
        <w:tc>
          <w:tcPr>
            <w:tcW w:w="2543" w:type="dxa"/>
            <w:tcMar>
              <w:left w:w="45" w:type="dxa"/>
              <w:right w:w="45" w:type="dxa"/>
            </w:tcMar>
            <w:vAlign w:val="center"/>
          </w:tcPr>
          <w:p>
            <w:pPr>
              <w:widowControl/>
              <w:spacing w:line="300" w:lineRule="exact"/>
              <w:rPr>
                <w:rFonts w:hint="eastAsia"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9.5.3</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kern w:val="0"/>
                <w:szCs w:val="21"/>
              </w:rPr>
              <w:t>易制爆化学品存量合规、双人双锁保管</w:t>
            </w:r>
          </w:p>
          <w:p>
            <w:pPr>
              <w:widowControl/>
              <w:spacing w:line="300" w:lineRule="exact"/>
              <w:rPr>
                <w:rFonts w:hint="eastAsia" w:ascii="宋体" w:hAnsi="宋体" w:eastAsia="宋体" w:cs="宋体"/>
                <w:kern w:val="0"/>
                <w:szCs w:val="21"/>
              </w:rPr>
            </w:pP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（148）易制爆化学品存量合规。</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（149）存放场所出入口应设置防盗安全门，或存放在专用储存柜内，储存场所防盗安全级别应为乙级（含）以上，专用储存柜应具有防盗功能，符合双人双锁管理要求，台账账册保存期限不少于1年。</w:t>
            </w:r>
          </w:p>
        </w:tc>
        <w:tc>
          <w:tcPr>
            <w:tcW w:w="2543" w:type="dxa"/>
            <w:tcMar>
              <w:left w:w="45" w:type="dxa"/>
              <w:right w:w="45" w:type="dxa"/>
            </w:tcMar>
            <w:vAlign w:val="center"/>
          </w:tcPr>
          <w:p>
            <w:pPr>
              <w:widowControl/>
              <w:spacing w:line="300" w:lineRule="exact"/>
              <w:rPr>
                <w:rFonts w:hint="eastAsia"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9.5.4</w:t>
            </w:r>
          </w:p>
        </w:tc>
        <w:tc>
          <w:tcPr>
            <w:tcW w:w="382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kern w:val="0"/>
                <w:szCs w:val="21"/>
              </w:rPr>
              <w:t>麻醉药品和第一类精神药品管理符合“双人双锁”，有专用账册</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（150）设立专库或者专柜储存，专库应当设有防盗设施并安装报警装置，专柜应当使用保险柜，专库和专柜应当实行双人双锁管理。</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（151）配备专人管理并建立专用账册，专用账册的保存期限应当自药品有效期期满之日起不少于5年。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hint="eastAsia" w:ascii="宋体" w:hAnsi="宋体" w:eastAsia="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9.5.5</w:t>
            </w:r>
          </w:p>
        </w:tc>
        <w:tc>
          <w:tcPr>
            <w:tcW w:w="3820" w:type="dxa"/>
            <w:tcMar>
              <w:left w:w="45" w:type="dxa"/>
              <w:right w:w="45" w:type="dxa"/>
            </w:tcMar>
            <w:vAlign w:val="center"/>
          </w:tcPr>
          <w:p>
            <w:pPr>
              <w:spacing w:line="300" w:lineRule="exact"/>
              <w:rPr>
                <w:rFonts w:hint="eastAsia" w:ascii="宋体" w:hAnsi="宋体" w:eastAsia="宋体" w:cs="宋体"/>
                <w:kern w:val="0"/>
                <w:szCs w:val="21"/>
              </w:rPr>
            </w:pPr>
            <w:r>
              <w:rPr>
                <w:rFonts w:hint="eastAsia" w:ascii="宋体" w:hAnsi="宋体" w:eastAsia="宋体" w:cs="宋体"/>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（152）收存和发放民用爆炸物品必须进行登记，做到账目清楚，账物相符。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bCs/>
                <w:kern w:val="0"/>
                <w:szCs w:val="21"/>
              </w:rPr>
              <w:t>9.6</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9.6.1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从合格供应商处采购实验气体，建立气体（气瓶）台账</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（153）查看记录。</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9.6.2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气体（气瓶）的存放和使用符合相关要求</w:t>
            </w:r>
          </w:p>
        </w:tc>
        <w:tc>
          <w:tcPr>
            <w:tcW w:w="766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（154）气体（气瓶）存放点须通风、远离热源、避免暴晒，地面平整干燥。</w:t>
            </w:r>
          </w:p>
          <w:p>
            <w:pPr>
              <w:rPr>
                <w:rFonts w:hint="eastAsia" w:ascii="宋体" w:hAnsi="宋体" w:eastAsia="宋体" w:cs="宋体"/>
                <w:kern w:val="0"/>
                <w:szCs w:val="21"/>
              </w:rPr>
            </w:pPr>
            <w:r>
              <w:rPr>
                <w:rFonts w:hint="eastAsia" w:ascii="宋体" w:hAnsi="宋体" w:eastAsia="宋体" w:cs="宋体"/>
                <w:kern w:val="0"/>
                <w:szCs w:val="21"/>
              </w:rPr>
              <w:t>（155）气瓶应合理固定。</w:t>
            </w:r>
          </w:p>
          <w:p>
            <w:pPr>
              <w:rPr>
                <w:rFonts w:hint="eastAsia" w:ascii="宋体" w:hAnsi="宋体" w:eastAsia="宋体" w:cs="宋体"/>
                <w:kern w:val="0"/>
                <w:szCs w:val="21"/>
              </w:rPr>
            </w:pPr>
            <w:r>
              <w:rPr>
                <w:rFonts w:hint="eastAsia" w:ascii="宋体" w:hAnsi="宋体" w:eastAsia="宋体" w:cs="宋体"/>
                <w:kern w:val="0"/>
                <w:szCs w:val="21"/>
              </w:rPr>
              <w:t>（156）危险气体气瓶尽量置于室外，室内放置应使用常时排风且带监测报警装置的气瓶柜。</w:t>
            </w:r>
          </w:p>
          <w:p>
            <w:pPr>
              <w:rPr>
                <w:rFonts w:hint="eastAsia" w:ascii="宋体" w:hAnsi="宋体" w:eastAsia="宋体" w:cs="宋体"/>
                <w:kern w:val="0"/>
                <w:szCs w:val="21"/>
              </w:rPr>
            </w:pPr>
            <w:r>
              <w:rPr>
                <w:rFonts w:hint="eastAsia" w:ascii="宋体" w:hAnsi="宋体" w:eastAsia="宋体" w:cs="宋体"/>
                <w:kern w:val="0"/>
                <w:szCs w:val="21"/>
              </w:rPr>
              <w:t>（157）气瓶的存放应控制在最小需求量。</w:t>
            </w:r>
          </w:p>
          <w:p>
            <w:pPr>
              <w:rPr>
                <w:rFonts w:hint="eastAsia" w:ascii="宋体" w:hAnsi="宋体" w:eastAsia="宋体" w:cs="宋体"/>
                <w:kern w:val="0"/>
                <w:szCs w:val="21"/>
              </w:rPr>
            </w:pPr>
            <w:r>
              <w:rPr>
                <w:rFonts w:hint="eastAsia" w:ascii="宋体" w:hAnsi="宋体" w:eastAsia="宋体" w:cs="宋体"/>
                <w:kern w:val="0"/>
                <w:szCs w:val="21"/>
              </w:rPr>
              <w:t>（158）涉及有毒、可燃气体的场所，配有通风设施和相应的气体监测和报警装置等，张贴必要的安全警示标识。</w:t>
            </w:r>
          </w:p>
          <w:p>
            <w:pPr>
              <w:rPr>
                <w:rFonts w:hint="eastAsia" w:ascii="宋体" w:hAnsi="宋体" w:eastAsia="宋体" w:cs="宋体"/>
                <w:kern w:val="0"/>
                <w:szCs w:val="21"/>
              </w:rPr>
            </w:pPr>
            <w:r>
              <w:rPr>
                <w:rFonts w:hint="eastAsia" w:ascii="宋体" w:hAnsi="宋体" w:eastAsia="宋体" w:cs="宋体"/>
                <w:kern w:val="0"/>
                <w:szCs w:val="21"/>
              </w:rPr>
              <w:t>（159）可燃性气体与氧气等助燃气体气瓶不得混放。</w:t>
            </w:r>
          </w:p>
          <w:p>
            <w:pPr>
              <w:rPr>
                <w:rFonts w:hint="eastAsia" w:ascii="宋体" w:hAnsi="宋体" w:eastAsia="宋体" w:cs="宋体"/>
                <w:kern w:val="0"/>
                <w:szCs w:val="21"/>
              </w:rPr>
            </w:pPr>
            <w:r>
              <w:rPr>
                <w:rFonts w:hint="eastAsia" w:ascii="宋体" w:hAnsi="宋体" w:eastAsia="宋体" w:cs="宋体"/>
                <w:kern w:val="0"/>
                <w:szCs w:val="21"/>
              </w:rPr>
              <w:t>（160）独立的气体气瓶室应通风、不混放、有监控，有专人管理和记录。</w:t>
            </w:r>
          </w:p>
          <w:p>
            <w:pPr>
              <w:widowControl/>
              <w:rPr>
                <w:rFonts w:hint="eastAsia" w:ascii="宋体" w:hAnsi="宋体" w:eastAsia="宋体" w:cs="宋体"/>
                <w:kern w:val="0"/>
                <w:szCs w:val="21"/>
              </w:rPr>
            </w:pPr>
            <w:r>
              <w:rPr>
                <w:rFonts w:hint="eastAsia" w:ascii="宋体" w:hAnsi="宋体" w:eastAsia="宋体" w:cs="宋体"/>
                <w:kern w:val="0"/>
                <w:szCs w:val="21"/>
              </w:rPr>
              <w:t>（161）有供应商提供的气瓶定期检验合格标识，无超过检验有效期的气瓶、无超过设计年限的气瓶。</w:t>
            </w:r>
          </w:p>
          <w:p>
            <w:pPr>
              <w:rPr>
                <w:rFonts w:hint="eastAsia" w:ascii="宋体" w:hAnsi="宋体" w:eastAsia="宋体" w:cs="宋体"/>
                <w:kern w:val="0"/>
                <w:szCs w:val="21"/>
              </w:rPr>
            </w:pPr>
            <w:r>
              <w:rPr>
                <w:rFonts w:hint="eastAsia" w:ascii="宋体" w:hAnsi="宋体" w:eastAsia="宋体" w:cs="宋体"/>
                <w:kern w:val="0"/>
                <w:szCs w:val="21"/>
              </w:rPr>
              <w:t>（162）气瓶颜色符合GB/T 7144《气瓶颜色标志》的规定要求，确认“满、使用中、空瓶”三种状态。</w:t>
            </w:r>
          </w:p>
          <w:p>
            <w:pPr>
              <w:rPr>
                <w:rFonts w:hint="eastAsia" w:ascii="宋体" w:hAnsi="宋体" w:eastAsia="宋体" w:cs="宋体"/>
                <w:kern w:val="0"/>
                <w:szCs w:val="21"/>
              </w:rPr>
            </w:pPr>
            <w:r>
              <w:rPr>
                <w:rFonts w:hint="eastAsia" w:ascii="宋体" w:hAnsi="宋体" w:eastAsia="宋体" w:cs="宋体"/>
                <w:kern w:val="0"/>
                <w:szCs w:val="21"/>
              </w:rPr>
              <w:t>（163）使用完毕，应及时关闭气瓶总阀。</w:t>
            </w:r>
          </w:p>
          <w:p>
            <w:pPr>
              <w:rPr>
                <w:rFonts w:hint="eastAsia" w:ascii="宋体" w:hAnsi="宋体" w:eastAsia="宋体" w:cs="宋体"/>
                <w:kern w:val="0"/>
                <w:szCs w:val="21"/>
              </w:rPr>
            </w:pPr>
            <w:r>
              <w:rPr>
                <w:rFonts w:hint="eastAsia" w:ascii="宋体" w:hAnsi="宋体" w:eastAsia="宋体" w:cs="宋体"/>
                <w:kern w:val="0"/>
                <w:szCs w:val="21"/>
              </w:rPr>
              <w:t>（164）气瓶附件齐全。</w:t>
            </w:r>
          </w:p>
        </w:tc>
        <w:tc>
          <w:tcPr>
            <w:tcW w:w="2543" w:type="dxa"/>
            <w:tcMar>
              <w:left w:w="45" w:type="dxa"/>
              <w:right w:w="45" w:type="dxa"/>
            </w:tcMar>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9.6.3</w:t>
            </w:r>
          </w:p>
        </w:tc>
        <w:tc>
          <w:tcPr>
            <w:tcW w:w="382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rPr>
              <w:t>较小密封空间使用可引起窒息的气体，须安装有氧含量监测，</w:t>
            </w:r>
            <w:r>
              <w:rPr>
                <w:rFonts w:hint="eastAsia" w:ascii="宋体" w:hAnsi="宋体" w:eastAsia="宋体" w:cs="宋体"/>
                <w:kern w:val="0"/>
                <w:szCs w:val="21"/>
              </w:rPr>
              <w:t>设置必要的气体报警装置</w:t>
            </w:r>
          </w:p>
        </w:tc>
        <w:tc>
          <w:tcPr>
            <w:tcW w:w="766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（165）存有大量无毒窒息性压缩气体或液化气体（液氮、液氩）的较小密闭空间，为</w:t>
            </w:r>
            <w:r>
              <w:rPr>
                <w:rFonts w:hint="eastAsia" w:ascii="宋体" w:hAnsi="宋体" w:eastAsia="宋体" w:cs="宋体"/>
                <w:bCs/>
                <w:kern w:val="0"/>
                <w:szCs w:val="21"/>
              </w:rPr>
              <w:t>防止大量泄漏或蒸发导致缺氧，</w:t>
            </w:r>
            <w:r>
              <w:rPr>
                <w:rFonts w:hint="eastAsia" w:ascii="宋体" w:hAnsi="宋体" w:eastAsia="宋体" w:cs="宋体"/>
                <w:szCs w:val="21"/>
              </w:rPr>
              <w:t>须安装氧含量监测报警装置。</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9.6.4</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气体管路和气瓶连接正确、有清晰标识</w:t>
            </w:r>
          </w:p>
        </w:tc>
        <w:tc>
          <w:tcPr>
            <w:tcW w:w="7660" w:type="dxa"/>
            <w:tcMar>
              <w:left w:w="45" w:type="dxa"/>
              <w:right w:w="45" w:type="dxa"/>
            </w:tcMar>
            <w:vAlign w:val="center"/>
          </w:tcPr>
          <w:p>
            <w:pPr>
              <w:widowControl/>
              <w:rPr>
                <w:rFonts w:hint="eastAsia" w:ascii="宋体" w:hAnsi="宋体" w:eastAsia="宋体" w:cs="宋体"/>
                <w:bCs/>
                <w:kern w:val="0"/>
                <w:szCs w:val="21"/>
              </w:rPr>
            </w:pPr>
            <w:r>
              <w:rPr>
                <w:rFonts w:hint="eastAsia" w:ascii="宋体" w:hAnsi="宋体" w:eastAsia="宋体" w:cs="宋体"/>
                <w:kern w:val="0"/>
                <w:szCs w:val="21"/>
              </w:rPr>
              <w:t>（166）管路材质选择合适，无破损或老化现象，定期进行气密性检查；存在多条气体管路的房间须张贴详细的管路图，管路标识正确。</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9.7</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实验室化学废弃物的收集、分类和转运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9.7.1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实验室应设立化学废弃物暂存区</w:t>
            </w:r>
          </w:p>
        </w:tc>
        <w:tc>
          <w:tcPr>
            <w:tcW w:w="7660" w:type="dxa"/>
            <w:tcMar>
              <w:left w:w="45" w:type="dxa"/>
              <w:right w:w="45" w:type="dxa"/>
            </w:tcMar>
            <w:vAlign w:val="center"/>
          </w:tcPr>
          <w:p>
            <w:pPr>
              <w:widowControl/>
              <w:rPr>
                <w:rFonts w:hint="eastAsia" w:ascii="宋体" w:hAnsi="宋体" w:eastAsia="宋体" w:cs="宋体"/>
                <w:kern w:val="0"/>
                <w:szCs w:val="21"/>
              </w:rPr>
            </w:pPr>
            <w:r>
              <w:rPr>
                <w:rFonts w:hint="eastAsia" w:ascii="宋体" w:hAnsi="宋体" w:eastAsia="宋体" w:cs="宋体"/>
                <w:kern w:val="0"/>
                <w:szCs w:val="21"/>
              </w:rPr>
              <w:t>（167）暂存区应远离火源、热源和不相容物质，避免日晒、雨淋，存放两种及以上不相容的实验室危险废物时，应分不同区域。</w:t>
            </w:r>
          </w:p>
          <w:p>
            <w:pPr>
              <w:widowControl/>
              <w:rPr>
                <w:rFonts w:hint="eastAsia" w:ascii="宋体" w:hAnsi="宋体" w:eastAsia="宋体" w:cs="宋体"/>
                <w:kern w:val="0"/>
                <w:szCs w:val="21"/>
              </w:rPr>
            </w:pPr>
            <w:r>
              <w:rPr>
                <w:rFonts w:hint="eastAsia" w:ascii="宋体" w:hAnsi="宋体" w:eastAsia="宋体" w:cs="宋体"/>
                <w:kern w:val="0"/>
                <w:szCs w:val="21"/>
              </w:rPr>
              <w:t>（168）暂存区应有警示标识并有防遗洒、防渗漏设施或措施。</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9.7.2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实验室内须规范收集化学废弃物</w:t>
            </w:r>
          </w:p>
        </w:tc>
        <w:tc>
          <w:tcPr>
            <w:tcW w:w="7660" w:type="dxa"/>
            <w:tcMar>
              <w:left w:w="45" w:type="dxa"/>
              <w:right w:w="45" w:type="dxa"/>
            </w:tcMar>
            <w:vAlign w:val="center"/>
          </w:tcPr>
          <w:p>
            <w:pPr>
              <w:widowControl/>
              <w:rPr>
                <w:rFonts w:hint="eastAsia" w:ascii="宋体" w:hAnsi="宋体" w:eastAsia="宋体" w:cs="宋体"/>
                <w:kern w:val="0"/>
                <w:szCs w:val="21"/>
              </w:rPr>
            </w:pPr>
            <w:r>
              <w:rPr>
                <w:rFonts w:hint="eastAsia" w:ascii="宋体" w:hAnsi="宋体" w:eastAsia="宋体" w:cs="宋体"/>
                <w:kern w:val="0"/>
                <w:szCs w:val="21"/>
              </w:rPr>
              <w:t>（169）危险废物应按化学特性和危险特性，进行分类收集和暂存。</w:t>
            </w:r>
          </w:p>
          <w:p>
            <w:pPr>
              <w:widowControl/>
              <w:rPr>
                <w:rFonts w:hint="eastAsia" w:ascii="宋体" w:hAnsi="宋体" w:eastAsia="宋体" w:cs="宋体"/>
                <w:kern w:val="0"/>
                <w:szCs w:val="21"/>
              </w:rPr>
            </w:pPr>
            <w:r>
              <w:rPr>
                <w:rFonts w:hint="eastAsia" w:ascii="宋体" w:hAnsi="宋体" w:eastAsia="宋体" w:cs="宋体"/>
                <w:kern w:val="0"/>
                <w:szCs w:val="21"/>
              </w:rPr>
              <w:t>（170）废弃的化学试剂应存放在原试剂瓶中，保留原标签，并瓶口朝上放入专用固废箱中。</w:t>
            </w:r>
          </w:p>
          <w:p>
            <w:pPr>
              <w:widowControl/>
              <w:rPr>
                <w:rFonts w:hint="eastAsia" w:ascii="宋体" w:hAnsi="宋体" w:eastAsia="宋体" w:cs="宋体"/>
                <w:kern w:val="0"/>
                <w:szCs w:val="21"/>
              </w:rPr>
            </w:pPr>
            <w:r>
              <w:rPr>
                <w:rFonts w:hint="eastAsia" w:ascii="宋体" w:hAnsi="宋体" w:eastAsia="宋体" w:cs="宋体"/>
                <w:kern w:val="0"/>
                <w:szCs w:val="21"/>
              </w:rPr>
              <w:t>（171）针头等利器须放入利器盒中收集。</w:t>
            </w:r>
          </w:p>
          <w:p>
            <w:pPr>
              <w:widowControl/>
              <w:rPr>
                <w:rFonts w:hint="eastAsia" w:ascii="宋体" w:hAnsi="宋体" w:eastAsia="宋体" w:cs="宋体"/>
                <w:kern w:val="0"/>
                <w:szCs w:val="21"/>
              </w:rPr>
            </w:pPr>
            <w:r>
              <w:rPr>
                <w:rFonts w:hint="eastAsia" w:ascii="宋体" w:hAnsi="宋体" w:eastAsia="宋体" w:cs="宋体"/>
                <w:kern w:val="0"/>
                <w:szCs w:val="21"/>
              </w:rPr>
              <w:t>（172）废液应分类装入专用废液桶中，液面不超过容量的3/4。废液桶须满足耐腐蚀、抗溶剂、耐挤压、抗冲击的要求。</w:t>
            </w:r>
          </w:p>
          <w:p>
            <w:pPr>
              <w:widowControl/>
              <w:rPr>
                <w:rFonts w:hint="eastAsia" w:ascii="宋体" w:hAnsi="宋体" w:eastAsia="宋体" w:cs="宋体"/>
                <w:kern w:val="0"/>
                <w:szCs w:val="21"/>
              </w:rPr>
            </w:pPr>
            <w:r>
              <w:rPr>
                <w:rFonts w:hint="eastAsia" w:ascii="宋体" w:hAnsi="宋体" w:eastAsia="宋体" w:cs="宋体"/>
                <w:kern w:val="0"/>
                <w:szCs w:val="21"/>
              </w:rPr>
              <w:t>（173）实验室危险废物收集容器上应粘贴危险废物信息标签、警示标志。</w:t>
            </w:r>
          </w:p>
          <w:p>
            <w:pPr>
              <w:widowControl/>
              <w:rPr>
                <w:rFonts w:hint="eastAsia" w:ascii="宋体" w:hAnsi="宋体" w:eastAsia="宋体" w:cs="宋体"/>
                <w:kern w:val="0"/>
                <w:szCs w:val="21"/>
              </w:rPr>
            </w:pPr>
            <w:r>
              <w:rPr>
                <w:rFonts w:hint="eastAsia" w:ascii="宋体" w:hAnsi="宋体" w:eastAsia="宋体" w:cs="宋体"/>
                <w:kern w:val="0"/>
                <w:szCs w:val="21"/>
              </w:rPr>
              <w:t>（174）严禁将实验室危险废物直接排入下水道，严禁与生活垃圾、感染性废物或放射性废物等混装。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9.7.3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学校应建设化学废弃物贮存站并规范管理</w:t>
            </w:r>
          </w:p>
        </w:tc>
        <w:tc>
          <w:tcPr>
            <w:tcW w:w="7660" w:type="dxa"/>
            <w:tcMar>
              <w:left w:w="45" w:type="dxa"/>
              <w:right w:w="45" w:type="dxa"/>
            </w:tcMar>
            <w:vAlign w:val="center"/>
          </w:tcPr>
          <w:p>
            <w:pPr>
              <w:widowControl/>
              <w:rPr>
                <w:rFonts w:hint="eastAsia" w:ascii="宋体" w:hAnsi="宋体" w:eastAsia="宋体" w:cs="宋体"/>
                <w:kern w:val="0"/>
                <w:szCs w:val="21"/>
              </w:rPr>
            </w:pPr>
            <w:r>
              <w:rPr>
                <w:rFonts w:hint="eastAsia" w:ascii="宋体" w:hAnsi="宋体" w:eastAsia="宋体" w:cs="宋体"/>
                <w:kern w:val="0"/>
                <w:szCs w:val="21"/>
              </w:rPr>
              <w:t>（175）贮存设施、场所应当按照规定设置危险废物识别标志，存储装置符合GB/T 41962《实验室废弃物存储装置技术规范》的要求，易燃废弃物室外存储装置的单套内部面积应不大于30m</w:t>
            </w:r>
            <w:r>
              <w:rPr>
                <w:rFonts w:hint="eastAsia" w:ascii="宋体" w:hAnsi="宋体" w:eastAsia="宋体" w:cs="宋体"/>
                <w:kern w:val="0"/>
                <w:szCs w:val="21"/>
                <w:vertAlign w:val="superscript"/>
              </w:rPr>
              <w:t>2</w:t>
            </w:r>
            <w:r>
              <w:rPr>
                <w:rFonts w:hint="eastAsia" w:ascii="宋体" w:hAnsi="宋体" w:eastAsia="宋体" w:cs="宋体"/>
                <w:kern w:val="0"/>
                <w:szCs w:val="21"/>
              </w:rPr>
              <w:t>、高应不大于3m（尺寸误差应不大于10%），并在通风口处设置防火阀，公称动作温度为70</w:t>
            </w:r>
            <w:r>
              <w:rPr>
                <w:rFonts w:hint="eastAsia" w:ascii="宋体" w:hAnsi="宋体" w:eastAsia="宋体" w:cs="宋体"/>
                <w:sz w:val="24"/>
                <w:szCs w:val="24"/>
              </w:rPr>
              <w:t>°C</w:t>
            </w:r>
            <w:r>
              <w:rPr>
                <w:rFonts w:hint="eastAsia" w:ascii="宋体" w:hAnsi="宋体" w:eastAsia="宋体" w:cs="宋体"/>
                <w:kern w:val="0"/>
                <w:szCs w:val="21"/>
              </w:rPr>
              <w:t>。</w:t>
            </w:r>
          </w:p>
          <w:p>
            <w:pPr>
              <w:widowControl/>
              <w:rPr>
                <w:rFonts w:hint="eastAsia" w:ascii="宋体" w:hAnsi="宋体" w:eastAsia="宋体" w:cs="宋体"/>
                <w:kern w:val="0"/>
                <w:szCs w:val="21"/>
              </w:rPr>
            </w:pPr>
            <w:r>
              <w:rPr>
                <w:rFonts w:hint="eastAsia" w:ascii="宋体" w:hAnsi="宋体" w:eastAsia="宋体" w:cs="宋体"/>
                <w:kern w:val="0"/>
                <w:szCs w:val="21"/>
              </w:rPr>
              <w:t>（176）贮存站应有具体的管理办法并将贮存站安全运行、实验室危险废物出站转运等日常管理工作落实到相关人员的岗位职责中。</w:t>
            </w:r>
          </w:p>
          <w:p>
            <w:pPr>
              <w:widowControl/>
              <w:rPr>
                <w:rFonts w:hint="eastAsia" w:ascii="宋体" w:hAnsi="宋体" w:eastAsia="宋体" w:cs="宋体"/>
                <w:bCs/>
                <w:kern w:val="0"/>
                <w:szCs w:val="21"/>
              </w:rPr>
            </w:pPr>
            <w:r>
              <w:rPr>
                <w:rFonts w:hint="eastAsia" w:ascii="宋体" w:hAnsi="宋体" w:eastAsia="宋体" w:cs="宋体"/>
                <w:bCs/>
                <w:kern w:val="0"/>
                <w:szCs w:val="21"/>
              </w:rPr>
              <w:t>（177）制定意外事故的防范措施和应急预案</w:t>
            </w:r>
            <w:r>
              <w:rPr>
                <w:rFonts w:hint="eastAsia" w:ascii="宋体" w:hAnsi="宋体" w:eastAsia="宋体" w:cs="宋体"/>
                <w:kern w:val="0"/>
                <w:szCs w:val="21"/>
              </w:rPr>
              <w:t>，并向所在地生态环境主管部门</w:t>
            </w:r>
            <w:r>
              <w:rPr>
                <w:rFonts w:hint="eastAsia" w:ascii="宋体" w:hAnsi="宋体" w:eastAsia="宋体" w:cs="宋体"/>
                <w:bCs/>
                <w:kern w:val="0"/>
                <w:szCs w:val="21"/>
              </w:rPr>
              <w:t>备案。</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9.7.4</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化学废弃物的转运须合规</w:t>
            </w:r>
          </w:p>
        </w:tc>
        <w:tc>
          <w:tcPr>
            <w:tcW w:w="7660" w:type="dxa"/>
            <w:tcMar>
              <w:left w:w="45" w:type="dxa"/>
              <w:right w:w="45" w:type="dxa"/>
            </w:tcMar>
            <w:vAlign w:val="center"/>
          </w:tcPr>
          <w:p>
            <w:pPr>
              <w:widowControl/>
              <w:rPr>
                <w:rFonts w:hint="eastAsia" w:ascii="宋体" w:hAnsi="宋体" w:eastAsia="宋体" w:cs="宋体"/>
                <w:kern w:val="0"/>
                <w:szCs w:val="21"/>
              </w:rPr>
            </w:pPr>
            <w:r>
              <w:rPr>
                <w:rFonts w:hint="eastAsia" w:ascii="宋体" w:hAnsi="宋体" w:eastAsia="宋体" w:cs="宋体"/>
                <w:kern w:val="0"/>
                <w:szCs w:val="21"/>
              </w:rPr>
              <w:t>（178）委托有危险废物处置资质的专业厂家集中处置化学废弃物，查看协议。</w:t>
            </w:r>
          </w:p>
          <w:p>
            <w:pPr>
              <w:widowControl/>
              <w:rPr>
                <w:rFonts w:hint="eastAsia" w:ascii="宋体" w:hAnsi="宋体" w:eastAsia="宋体" w:cs="宋体"/>
                <w:kern w:val="0"/>
                <w:szCs w:val="21"/>
              </w:rPr>
            </w:pPr>
            <w:r>
              <w:rPr>
                <w:rFonts w:hint="eastAsia" w:ascii="宋体" w:hAnsi="宋体" w:eastAsia="宋体" w:cs="宋体"/>
                <w:kern w:val="0"/>
                <w:szCs w:val="21"/>
              </w:rPr>
              <w:t>（179）</w:t>
            </w:r>
            <w:r>
              <w:rPr>
                <w:rFonts w:hint="eastAsia" w:ascii="宋体" w:hAnsi="宋体" w:eastAsia="宋体" w:cs="宋体"/>
                <w:bCs/>
                <w:kern w:val="0"/>
                <w:szCs w:val="21"/>
              </w:rPr>
              <w:t>建立危险废物管理台账</w:t>
            </w:r>
            <w:r>
              <w:rPr>
                <w:rFonts w:hint="eastAsia" w:ascii="宋体" w:hAnsi="宋体" w:eastAsia="宋体" w:cs="宋体"/>
                <w:kern w:val="0"/>
                <w:szCs w:val="21"/>
              </w:rPr>
              <w:t>，如实记录有关信息，包括种类、产生量、流向、贮存、处置等有关资料。</w:t>
            </w:r>
          </w:p>
          <w:p>
            <w:pPr>
              <w:widowControl/>
              <w:rPr>
                <w:rFonts w:hint="eastAsia" w:ascii="宋体" w:hAnsi="宋体" w:eastAsia="宋体" w:cs="宋体"/>
                <w:kern w:val="0"/>
                <w:szCs w:val="21"/>
              </w:rPr>
            </w:pPr>
            <w:r>
              <w:rPr>
                <w:rFonts w:hint="eastAsia" w:ascii="宋体" w:hAnsi="宋体" w:eastAsia="宋体" w:cs="宋体"/>
                <w:kern w:val="0"/>
                <w:szCs w:val="21"/>
              </w:rPr>
              <w:t>（180）校外转运之前，贮存站必须妥善管理实验室危险废物，采取有效措施，防止废物的扬散、流失、渗漏或其他环境污染。</w:t>
            </w:r>
          </w:p>
          <w:p>
            <w:pPr>
              <w:widowControl/>
              <w:rPr>
                <w:rFonts w:hint="eastAsia" w:ascii="宋体" w:hAnsi="宋体" w:eastAsia="宋体" w:cs="宋体"/>
                <w:kern w:val="0"/>
                <w:szCs w:val="21"/>
              </w:rPr>
            </w:pPr>
            <w:r>
              <w:rPr>
                <w:rFonts w:hint="eastAsia" w:ascii="宋体" w:hAnsi="宋体" w:eastAsia="宋体" w:cs="宋体"/>
                <w:kern w:val="0"/>
                <w:szCs w:val="21"/>
              </w:rPr>
              <w:t>（181）转运人员应使用专用运输工具，运输前根据运输废物的危险特性，应携带必要的应急物资和个体防护用具，如收集工具、手套、口罩等。</w:t>
            </w:r>
          </w:p>
          <w:p>
            <w:pPr>
              <w:widowControl/>
              <w:rPr>
                <w:rFonts w:hint="eastAsia" w:ascii="宋体" w:hAnsi="宋体" w:eastAsia="宋体" w:cs="宋体"/>
                <w:kern w:val="0"/>
                <w:szCs w:val="21"/>
              </w:rPr>
            </w:pPr>
            <w:r>
              <w:rPr>
                <w:rFonts w:hint="eastAsia" w:ascii="宋体" w:hAnsi="宋体" w:eastAsia="宋体" w:cs="宋体"/>
                <w:kern w:val="0"/>
                <w:szCs w:val="21"/>
              </w:rPr>
              <w:t>（182）实验室危险废物的校外转运必须按照国家有关规定填写危险废物电子或者纸质转移联单，任何单位和个人未经许可不得非法转运。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10</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10.1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实验室生物安全等级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10.1.1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（183）BSL-3/ABSL-3、BSL-4/ABSL-4实验室须经政府部门批准建设，BSL-1/ABSL-1、BSL-2/ABSL-2实验室由学校建设后报卫生或农业部门备案。</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10.1.2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在相应等级的实验室开展涉及致病性生物因子的实验活动</w:t>
            </w:r>
          </w:p>
          <w:p>
            <w:pPr>
              <w:widowControl/>
              <w:spacing w:line="300" w:lineRule="exact"/>
              <w:rPr>
                <w:rFonts w:hint="eastAsia" w:ascii="宋体" w:hAnsi="宋体" w:eastAsia="宋体" w:cs="宋体"/>
                <w:kern w:val="0"/>
                <w:szCs w:val="21"/>
              </w:rPr>
            </w:pP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szCs w:val="21"/>
              </w:rPr>
              <w:t>（184）以国家法律、法规、标准、规范，以及权威机构发布的指南、数据等为依据</w:t>
            </w:r>
            <w:r>
              <w:rPr>
                <w:rFonts w:hint="eastAsia" w:ascii="宋体" w:hAnsi="宋体" w:eastAsia="宋体" w:cs="宋体"/>
                <w:kern w:val="0"/>
                <w:szCs w:val="21"/>
              </w:rPr>
              <w:t>，对涉及的致病性生物因子进行风险评估，选择对应的实验室安全级别进行致病性病原微生物研究，重点关注：开展未经灭活的高致病性病原微生物（列入一类、二类）相关实验和研究，必须在BSL-3/ABSL-3、BSL-4/ABSL-4实验室中进行；开展低致病性病原微生物（列入三类、四类），或经灭活的高致病性感染性材料的相关实验和研究，必须在BSL-1/ABSL-1、BSL-2/ABSL-2或以上等级实验室中进行。</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10.2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10.2.1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实验室安全防范设施达到相应生物安全实验室要求，各区域分布合理、气压正常</w:t>
            </w:r>
          </w:p>
        </w:tc>
        <w:tc>
          <w:tcPr>
            <w:tcW w:w="7660" w:type="dxa"/>
            <w:tcMar>
              <w:left w:w="45" w:type="dxa"/>
              <w:right w:w="45" w:type="dxa"/>
            </w:tcMar>
            <w:vAlign w:val="center"/>
          </w:tcPr>
          <w:p>
            <w:pPr>
              <w:rPr>
                <w:rFonts w:hint="eastAsia" w:ascii="宋体" w:hAnsi="宋体" w:eastAsia="宋体" w:cs="宋体"/>
                <w:bCs/>
                <w:kern w:val="0"/>
                <w:szCs w:val="21"/>
              </w:rPr>
            </w:pPr>
            <w:r>
              <w:rPr>
                <w:rFonts w:hint="eastAsia" w:ascii="宋体" w:hAnsi="宋体" w:eastAsia="宋体" w:cs="宋体"/>
                <w:kern w:val="0"/>
                <w:szCs w:val="21"/>
              </w:rPr>
              <w:t>（185）实验室须设门禁管理和准入制度，储存病原微生物的场所或储柜配备防盗设施，</w:t>
            </w:r>
            <w:r>
              <w:rPr>
                <w:rFonts w:hint="eastAsia" w:ascii="宋体" w:hAnsi="宋体" w:eastAsia="宋体" w:cs="宋体"/>
                <w:kern w:val="0"/>
              </w:rPr>
              <w:t>BSL-3/ABSL-3及以上安全等级实验室须</w:t>
            </w:r>
            <w:r>
              <w:rPr>
                <w:rFonts w:hint="eastAsia" w:ascii="宋体" w:hAnsi="宋体" w:eastAsia="宋体" w:cs="宋体"/>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10.2.2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配有符合相应要求的生物安全设施</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（186）BSL-2以上安全等级实验室须配有II级生物安全柜，ABSL-2适用时配备，并定期进行检测，</w:t>
            </w:r>
            <w:r>
              <w:rPr>
                <w:rFonts w:hint="eastAsia" w:ascii="宋体" w:hAnsi="宋体" w:eastAsia="宋体" w:cs="宋体"/>
                <w:bCs/>
                <w:kern w:val="0"/>
                <w:szCs w:val="21"/>
              </w:rPr>
              <w:t>B型生物安全柜须有正常通风系统。</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（187）病原微生物实验室应有可靠和充足的电力供应，配备适用的消防器材、洗眼装置和必要的应急喷淋。</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188）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（189）生物安全实验室配有压力蒸汽灭菌器，按规定要求监测灭菌效果。</w:t>
            </w:r>
          </w:p>
        </w:tc>
        <w:tc>
          <w:tcPr>
            <w:tcW w:w="2543" w:type="dxa"/>
            <w:tcMar>
              <w:left w:w="45" w:type="dxa"/>
              <w:right w:w="45" w:type="dxa"/>
            </w:tcMar>
            <w:vAlign w:val="center"/>
          </w:tcPr>
          <w:p>
            <w:pPr>
              <w:widowControl/>
              <w:spacing w:line="300" w:lineRule="exact"/>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10.2.3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场所消毒要保证人员安全</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（190）使用紫外灯的生物安全实验室应设安全警示标志，尤其要对紫外灯开关张贴警示标识。</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（191）使用紫外灯的生物安全实验室在消毒过程中禁止人员进入。采用紫外加臭氧方式消毒应在消毒时间结束后有一定的排风时间，臭氧消散后人员方可进入。</w:t>
            </w:r>
          </w:p>
        </w:tc>
        <w:tc>
          <w:tcPr>
            <w:tcW w:w="2543" w:type="dxa"/>
            <w:tcMar>
              <w:left w:w="45" w:type="dxa"/>
              <w:right w:w="45" w:type="dxa"/>
            </w:tcMar>
            <w:vAlign w:val="center"/>
          </w:tcPr>
          <w:p>
            <w:pPr>
              <w:pStyle w:val="6"/>
              <w:jc w:val="both"/>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10.3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b/>
                <w:bCs/>
                <w:kern w:val="0"/>
                <w:szCs w:val="21"/>
              </w:rPr>
              <w:t>病原微生物获取与保管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10.3.1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使用高致病性病原微生物菌（毒）种，须办理相应申请和报批手续</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（192）从正规渠道获取病原微生物菌（毒）株，学校应有审批流程。</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（193）转移和运输高致病病原微生物须按规定报卫生和农业主管部门批准，并按相应的运输包装要求包装后转移和运输。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10.3.2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（194）病原微生物菌（毒）种保存在带锁冰箱或柜子中，高致病性病原微生物实行双人双锁管理。有病原微生物菌（毒）种保存、实验使用、销毁的记录。</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10.4</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10.4.1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（195）人员经考核合格，并取得证书。</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10.4.2</w:t>
            </w:r>
          </w:p>
        </w:tc>
        <w:tc>
          <w:tcPr>
            <w:tcW w:w="382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szCs w:val="21"/>
              </w:rPr>
              <w:t>（196）实施监测和治疗方案，并妥善保存相应的医学记录。</w:t>
            </w:r>
            <w:r>
              <w:rPr>
                <w:rFonts w:hint="eastAsia" w:ascii="宋体" w:hAnsi="宋体" w:eastAsia="宋体" w:cs="宋体"/>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10.4.3</w:t>
            </w:r>
          </w:p>
        </w:tc>
        <w:tc>
          <w:tcPr>
            <w:tcW w:w="382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制定相应的人员准入制度</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szCs w:val="21"/>
              </w:rPr>
              <w:t>（197）外来人员进入生物安全实验室须经负责人批准，并有相关的教育培训、安全防控措施</w:t>
            </w:r>
            <w:r>
              <w:rPr>
                <w:rFonts w:hint="eastAsia" w:ascii="宋体" w:hAnsi="宋体" w:eastAsia="宋体" w:cs="宋体"/>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10.5</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10.5.1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（198）有从事病原微生物相关实验活动的标准操作规范。</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10.5.2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开展相关实验活动的风险评估和制定相应的应急预案</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（199）开展病原微生物的相关实验活动应有风险评估和应急预案，包括</w:t>
            </w:r>
            <w:r>
              <w:rPr>
                <w:rFonts w:hint="eastAsia" w:ascii="宋体" w:hAnsi="宋体" w:eastAsia="宋体" w:cs="宋体"/>
                <w:szCs w:val="21"/>
              </w:rPr>
              <w:t>病原微生物及感染材料溢洒和意外事故的书面处置程序。</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10.5.3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实验操作合规，安全防护措施合理</w:t>
            </w:r>
          </w:p>
        </w:tc>
        <w:tc>
          <w:tcPr>
            <w:tcW w:w="7660" w:type="dxa"/>
            <w:tcMar>
              <w:left w:w="45" w:type="dxa"/>
              <w:right w:w="45" w:type="dxa"/>
            </w:tcMar>
            <w:vAlign w:val="center"/>
          </w:tcPr>
          <w:p>
            <w:pPr>
              <w:rPr>
                <w:rFonts w:hint="eastAsia" w:ascii="宋体" w:hAnsi="宋体" w:eastAsia="宋体" w:cs="宋体"/>
                <w:bCs/>
                <w:kern w:val="0"/>
                <w:szCs w:val="21"/>
              </w:rPr>
            </w:pPr>
            <w:r>
              <w:rPr>
                <w:rFonts w:hint="eastAsia" w:ascii="宋体" w:hAnsi="宋体" w:eastAsia="宋体" w:cs="宋体"/>
                <w:kern w:val="0"/>
                <w:szCs w:val="21"/>
              </w:rPr>
              <w:t>（200）在合适的生物安全柜中进行实验操作</w:t>
            </w:r>
            <w:r>
              <w:rPr>
                <w:rFonts w:hint="eastAsia" w:ascii="宋体" w:hAnsi="宋体" w:eastAsia="宋体" w:cs="宋体"/>
                <w:bCs/>
                <w:kern w:val="0"/>
                <w:szCs w:val="21"/>
              </w:rPr>
              <w:t>；不得在超净工作台中进行病原微生物实验。</w:t>
            </w:r>
          </w:p>
          <w:p>
            <w:pPr>
              <w:rPr>
                <w:rFonts w:hint="eastAsia" w:ascii="宋体" w:hAnsi="宋体" w:eastAsia="宋体" w:cs="宋体"/>
                <w:kern w:val="0"/>
                <w:szCs w:val="21"/>
              </w:rPr>
            </w:pPr>
            <w:r>
              <w:rPr>
                <w:rFonts w:hint="eastAsia" w:ascii="宋体" w:hAnsi="宋体" w:eastAsia="宋体" w:cs="宋体"/>
                <w:bCs/>
                <w:kern w:val="0"/>
                <w:szCs w:val="21"/>
              </w:rPr>
              <w:t>（201）</w:t>
            </w:r>
            <w:r>
              <w:rPr>
                <w:rFonts w:hint="eastAsia" w:ascii="宋体" w:hAnsi="宋体" w:eastAsia="宋体" w:cs="宋体"/>
                <w:kern w:val="0"/>
                <w:szCs w:val="21"/>
              </w:rPr>
              <w:t>安全操作高速离心机，小心防止离心管破损或盖子破裂造成溢洒或气溶胶扩散。</w:t>
            </w:r>
          </w:p>
          <w:p>
            <w:pPr>
              <w:rPr>
                <w:rFonts w:hint="eastAsia" w:ascii="宋体" w:hAnsi="宋体" w:eastAsia="宋体" w:cs="宋体"/>
                <w:kern w:val="0"/>
                <w:szCs w:val="21"/>
              </w:rPr>
            </w:pPr>
            <w:r>
              <w:rPr>
                <w:rFonts w:hint="eastAsia" w:ascii="宋体" w:hAnsi="宋体" w:eastAsia="宋体" w:cs="宋体"/>
                <w:kern w:val="0"/>
                <w:szCs w:val="21"/>
              </w:rPr>
              <w:t>（202）有合适的个体防护措施，</w:t>
            </w:r>
            <w:r>
              <w:rPr>
                <w:rFonts w:hint="eastAsia" w:ascii="宋体" w:hAnsi="宋体" w:eastAsia="宋体" w:cs="宋体"/>
                <w:szCs w:val="21"/>
              </w:rPr>
              <w:t>禁止戴防护手套操作</w:t>
            </w:r>
            <w:r>
              <w:rPr>
                <w:rFonts w:hint="eastAsia" w:ascii="宋体" w:hAnsi="宋体" w:eastAsia="宋体" w:cs="宋体"/>
              </w:rPr>
              <w:t>相关实验以外的</w:t>
            </w:r>
            <w:r>
              <w:rPr>
                <w:rFonts w:hint="eastAsia" w:ascii="宋体" w:hAnsi="宋体" w:eastAsia="宋体" w:cs="宋体"/>
                <w:szCs w:val="21"/>
              </w:rPr>
              <w:t>设施设备。</w:t>
            </w:r>
          </w:p>
        </w:tc>
        <w:tc>
          <w:tcPr>
            <w:tcW w:w="2543" w:type="dxa"/>
            <w:tcMar>
              <w:left w:w="45" w:type="dxa"/>
              <w:right w:w="45" w:type="dxa"/>
            </w:tcMar>
            <w:vAlign w:val="center"/>
          </w:tcPr>
          <w:p>
            <w:pPr>
              <w:pStyle w:val="55"/>
              <w:spacing w:line="360" w:lineRule="auto"/>
              <w:ind w:firstLine="0" w:firstLineChars="0"/>
              <w:rPr>
                <w:rFonts w:hint="eastAsia" w:ascii="宋体" w:hAnsi="宋体" w:eastAsia="宋体" w:cs="宋体"/>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10.6</w:t>
            </w:r>
          </w:p>
        </w:tc>
        <w:tc>
          <w:tcPr>
            <w:tcW w:w="14023" w:type="dxa"/>
            <w:gridSpan w:val="3"/>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10.6.1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kern w:val="0"/>
                <w:szCs w:val="21"/>
              </w:rPr>
              <w:t>（203）饲养实验动物的场所应有资质证书，实验动物须从具有资质的单位购买，有合格证明，</w:t>
            </w:r>
            <w:r>
              <w:rPr>
                <w:rFonts w:hint="eastAsia" w:ascii="宋体" w:hAnsi="宋体" w:eastAsia="宋体" w:cs="宋体"/>
                <w:szCs w:val="21"/>
              </w:rPr>
              <w:t>用于解剖的实验动物须经过检验检疫合格。</w:t>
            </w:r>
          </w:p>
          <w:p>
            <w:pPr>
              <w:widowControl/>
              <w:spacing w:line="300" w:lineRule="exact"/>
              <w:rPr>
                <w:rFonts w:hint="eastAsia" w:ascii="宋体" w:hAnsi="宋体" w:eastAsia="宋体" w:cs="宋体"/>
                <w:szCs w:val="21"/>
              </w:rPr>
            </w:pPr>
            <w:r>
              <w:rPr>
                <w:rFonts w:hint="eastAsia" w:ascii="宋体" w:hAnsi="宋体" w:eastAsia="宋体" w:cs="宋体"/>
                <w:szCs w:val="21"/>
              </w:rPr>
              <w:t>（204）解剖实验动物时，必须做好个人安全防护。</w:t>
            </w:r>
          </w:p>
          <w:p>
            <w:pPr>
              <w:widowControl/>
              <w:spacing w:line="300" w:lineRule="exact"/>
              <w:rPr>
                <w:rFonts w:hint="eastAsia" w:ascii="宋体" w:hAnsi="宋体" w:eastAsia="宋体" w:cs="宋体"/>
                <w:bCs/>
                <w:kern w:val="0"/>
                <w:szCs w:val="21"/>
              </w:rPr>
            </w:pPr>
            <w:r>
              <w:rPr>
                <w:rFonts w:hint="eastAsia" w:ascii="宋体" w:hAnsi="宋体" w:eastAsia="宋体" w:cs="宋体"/>
                <w:szCs w:val="21"/>
              </w:rPr>
              <w:t>（205）</w:t>
            </w:r>
            <w:r>
              <w:rPr>
                <w:rFonts w:hint="eastAsia" w:ascii="宋体" w:hAnsi="宋体" w:eastAsia="宋体" w:cs="宋体"/>
                <w:kern w:val="0"/>
                <w:szCs w:val="21"/>
              </w:rPr>
              <w:t>定期组织健康检查。</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10.6.2</w:t>
            </w:r>
          </w:p>
        </w:tc>
        <w:tc>
          <w:tcPr>
            <w:tcW w:w="382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（206）学校有伦理审查机构，查看伦理审查记录。</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10.7</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10.7.1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生物废弃物的中转和处置规范</w:t>
            </w:r>
          </w:p>
        </w:tc>
        <w:tc>
          <w:tcPr>
            <w:tcW w:w="766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（207）学校与有资质的单位签约处置感染性废物，有交接记录，形成电子或者纸质台账。</w:t>
            </w:r>
          </w:p>
          <w:p>
            <w:pPr>
              <w:rPr>
                <w:rFonts w:hint="eastAsia" w:ascii="宋体" w:hAnsi="宋体" w:eastAsia="宋体" w:cs="宋体"/>
                <w:bCs/>
                <w:kern w:val="0"/>
                <w:szCs w:val="21"/>
              </w:rPr>
            </w:pPr>
            <w:r>
              <w:rPr>
                <w:rFonts w:hint="eastAsia" w:ascii="宋体" w:hAnsi="宋体" w:eastAsia="宋体" w:cs="宋体"/>
                <w:kern w:val="0"/>
                <w:szCs w:val="21"/>
              </w:rPr>
              <w:t>（208）学校有生物废弃物中转站或收集点，生物废物及时收集转运。</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10.7.2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生物废弃物与其他类别废物分开，且做好防护和消杀</w:t>
            </w:r>
          </w:p>
        </w:tc>
        <w:tc>
          <w:tcPr>
            <w:tcW w:w="766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（209）生物废物应与化学废物、生活垃圾等分开贮存。</w:t>
            </w:r>
          </w:p>
          <w:p>
            <w:pPr>
              <w:rPr>
                <w:rFonts w:hint="eastAsia" w:ascii="宋体" w:hAnsi="宋体" w:eastAsia="宋体" w:cs="宋体"/>
                <w:kern w:val="0"/>
                <w:szCs w:val="21"/>
              </w:rPr>
            </w:pPr>
            <w:r>
              <w:rPr>
                <w:rFonts w:hint="eastAsia" w:ascii="宋体" w:hAnsi="宋体" w:eastAsia="宋体" w:cs="宋体"/>
                <w:kern w:val="0"/>
                <w:szCs w:val="21"/>
              </w:rPr>
              <w:t>（210）实验室内配备生物废物垃圾桶（内置</w:t>
            </w:r>
            <w:r>
              <w:rPr>
                <w:rFonts w:hint="eastAsia" w:ascii="宋体" w:hAnsi="宋体" w:eastAsia="宋体" w:cs="宋体"/>
                <w:kern w:val="0"/>
              </w:rPr>
              <w:t>生物废物专用</w:t>
            </w:r>
            <w:r>
              <w:rPr>
                <w:rFonts w:hint="eastAsia" w:ascii="宋体" w:hAnsi="宋体" w:eastAsia="宋体" w:cs="宋体"/>
                <w:kern w:val="0"/>
                <w:szCs w:val="21"/>
              </w:rPr>
              <w:t>塑料袋），并粘贴专用标签标识。</w:t>
            </w:r>
          </w:p>
          <w:p>
            <w:pPr>
              <w:rPr>
                <w:rFonts w:hint="eastAsia" w:ascii="宋体" w:hAnsi="宋体" w:eastAsia="宋体" w:cs="宋体"/>
                <w:kern w:val="0"/>
                <w:szCs w:val="21"/>
              </w:rPr>
            </w:pPr>
            <w:r>
              <w:rPr>
                <w:rFonts w:hint="eastAsia" w:ascii="宋体" w:hAnsi="宋体" w:eastAsia="宋体" w:cs="宋体"/>
                <w:kern w:val="0"/>
                <w:szCs w:val="21"/>
              </w:rPr>
              <w:t>（211）刀片、移液枪头等尖锐物应使用利器盒或耐扎纸板箱盛放，送储时再装入</w:t>
            </w:r>
            <w:r>
              <w:rPr>
                <w:rFonts w:hint="eastAsia" w:ascii="宋体" w:hAnsi="宋体" w:eastAsia="宋体" w:cs="宋体"/>
                <w:kern w:val="0"/>
              </w:rPr>
              <w:t>生物废物专用塑料袋</w:t>
            </w:r>
            <w:r>
              <w:rPr>
                <w:rFonts w:hint="eastAsia" w:ascii="宋体" w:hAnsi="宋体" w:eastAsia="宋体" w:cs="宋体"/>
                <w:kern w:val="0"/>
                <w:szCs w:val="21"/>
              </w:rPr>
              <w:t>，贴好标签。</w:t>
            </w:r>
          </w:p>
          <w:p>
            <w:pPr>
              <w:rPr>
                <w:rFonts w:hint="eastAsia" w:ascii="宋体" w:hAnsi="宋体" w:eastAsia="宋体" w:cs="宋体"/>
                <w:kern w:val="0"/>
                <w:szCs w:val="21"/>
              </w:rPr>
            </w:pPr>
            <w:r>
              <w:rPr>
                <w:rFonts w:hint="eastAsia" w:ascii="宋体" w:hAnsi="宋体" w:eastAsia="宋体" w:cs="宋体"/>
                <w:kern w:val="0"/>
                <w:szCs w:val="21"/>
              </w:rPr>
              <w:t>（212）动物实验结束后，动物尸体及组织应做无害化处理，废物彻底灭菌后方可处置。</w:t>
            </w:r>
          </w:p>
          <w:p>
            <w:pPr>
              <w:rPr>
                <w:rFonts w:hint="eastAsia" w:ascii="宋体" w:hAnsi="宋体" w:eastAsia="宋体" w:cs="宋体"/>
                <w:kern w:val="0"/>
                <w:szCs w:val="21"/>
              </w:rPr>
            </w:pPr>
            <w:r>
              <w:rPr>
                <w:rFonts w:hint="eastAsia" w:ascii="宋体" w:hAnsi="宋体" w:eastAsia="宋体" w:cs="宋体"/>
                <w:kern w:val="0"/>
                <w:szCs w:val="21"/>
              </w:rPr>
              <w:t>（213）涉及病原微生物或其他细菌类的生物废物必须进行高温高压灭菌或化学浸泡处理，然后由有资质的公司进行最终处置。</w:t>
            </w:r>
          </w:p>
          <w:p>
            <w:pPr>
              <w:rPr>
                <w:rFonts w:hint="eastAsia" w:ascii="宋体" w:hAnsi="宋体" w:eastAsia="宋体" w:cs="宋体"/>
                <w:bCs/>
                <w:kern w:val="0"/>
                <w:szCs w:val="21"/>
              </w:rPr>
            </w:pPr>
            <w:r>
              <w:rPr>
                <w:rFonts w:hint="eastAsia" w:ascii="宋体" w:hAnsi="宋体" w:eastAsia="宋体" w:cs="宋体"/>
                <w:kern w:val="0"/>
                <w:szCs w:val="21"/>
              </w:rPr>
              <w:t>（214）高致病性生物材料废物处置实现溯源追踪。</w:t>
            </w:r>
          </w:p>
        </w:tc>
        <w:tc>
          <w:tcPr>
            <w:tcW w:w="2543" w:type="dxa"/>
            <w:tcMar>
              <w:left w:w="45" w:type="dxa"/>
              <w:right w:w="45" w:type="dxa"/>
            </w:tcMar>
            <w:vAlign w:val="center"/>
          </w:tcPr>
          <w:p>
            <w:pPr>
              <w:widowControl/>
              <w:spacing w:line="300" w:lineRule="exact"/>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11.1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11.1.1</w:t>
            </w:r>
          </w:p>
        </w:tc>
        <w:tc>
          <w:tcPr>
            <w:tcW w:w="3820"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szCs w:val="21"/>
              </w:rPr>
              <w:t>辐射工作</w:t>
            </w:r>
            <w:r>
              <w:rPr>
                <w:rFonts w:hint="eastAsia" w:ascii="宋体" w:hAnsi="宋体" w:eastAsia="宋体" w:cs="宋体"/>
                <w:bCs/>
                <w:kern w:val="0"/>
                <w:szCs w:val="21"/>
              </w:rPr>
              <w:t>单位须</w:t>
            </w:r>
            <w:r>
              <w:rPr>
                <w:rFonts w:hint="eastAsia" w:ascii="宋体" w:hAnsi="宋体" w:eastAsia="宋体" w:cs="宋体"/>
                <w:kern w:val="0"/>
                <w:szCs w:val="21"/>
              </w:rPr>
              <w:t>取得辐射安全许可证</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（215）按规定在放射性核素种类和用量以及射线种类许可范围内开展实验。除已被豁免管理外，射线装置、放射源或者非密封放射性物质应纳入许可证范畴。</w:t>
            </w:r>
          </w:p>
        </w:tc>
        <w:tc>
          <w:tcPr>
            <w:tcW w:w="2543" w:type="dxa"/>
            <w:tcMar>
              <w:left w:w="45" w:type="dxa"/>
              <w:right w:w="45" w:type="dxa"/>
            </w:tcMar>
            <w:vAlign w:val="center"/>
          </w:tcPr>
          <w:p>
            <w:pPr>
              <w:spacing w:line="360" w:lineRule="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11.1.2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辐射工作</w:t>
            </w:r>
            <w:r>
              <w:rPr>
                <w:rFonts w:hint="eastAsia" w:ascii="宋体" w:hAnsi="宋体" w:eastAsia="宋体" w:cs="宋体"/>
                <w:kern w:val="0"/>
                <w:szCs w:val="21"/>
              </w:rPr>
              <w:t>人员须经过专门培训，定期参加职业体检</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（216）辐射工作人员具有《辐射安全与防护培训合格证书》，</w:t>
            </w:r>
            <w:bookmarkStart w:id="0" w:name="_Hlk67117721"/>
            <w:r>
              <w:rPr>
                <w:rFonts w:hint="eastAsia" w:ascii="宋体" w:hAnsi="宋体" w:eastAsia="宋体" w:cs="宋体"/>
                <w:kern w:val="0"/>
                <w:szCs w:val="21"/>
              </w:rPr>
              <w:t>或者《生态环境部辐射安全与防护考核通过成绩报告单</w:t>
            </w:r>
            <w:bookmarkEnd w:id="0"/>
            <w:r>
              <w:rPr>
                <w:rFonts w:hint="eastAsia" w:ascii="宋体" w:hAnsi="宋体" w:eastAsia="宋体" w:cs="宋体"/>
                <w:kern w:val="0"/>
                <w:szCs w:val="21"/>
              </w:rPr>
              <w:t>》。</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（217）</w:t>
            </w:r>
            <w:r>
              <w:rPr>
                <w:rFonts w:hint="eastAsia" w:ascii="宋体" w:hAnsi="宋体" w:eastAsia="宋体" w:cs="宋体"/>
                <w:szCs w:val="21"/>
              </w:rPr>
              <w:t>辐射工作</w:t>
            </w:r>
            <w:r>
              <w:rPr>
                <w:rFonts w:hint="eastAsia" w:ascii="宋体" w:hAnsi="宋体" w:eastAsia="宋体" w:cs="宋体"/>
                <w:kern w:val="0"/>
                <w:szCs w:val="21"/>
              </w:rPr>
              <w:t>人员按时参加放射性职业体检（2年1次），有健康档案。</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（218）</w:t>
            </w:r>
            <w:r>
              <w:rPr>
                <w:rFonts w:hint="eastAsia" w:ascii="宋体" w:hAnsi="宋体" w:eastAsia="宋体" w:cs="宋体"/>
                <w:szCs w:val="21"/>
              </w:rPr>
              <w:t>辐射工作</w:t>
            </w:r>
            <w:r>
              <w:rPr>
                <w:rFonts w:hint="eastAsia" w:ascii="宋体" w:hAnsi="宋体" w:eastAsia="宋体" w:cs="宋体"/>
                <w:kern w:val="0"/>
                <w:szCs w:val="21"/>
              </w:rPr>
              <w:t>人员进入实验场所须佩带个人剂量计，剂量计委托有资质的单位按时进行剂量监测（3个月一次）。</w:t>
            </w:r>
          </w:p>
        </w:tc>
        <w:tc>
          <w:tcPr>
            <w:tcW w:w="2543" w:type="dxa"/>
            <w:tcMar>
              <w:left w:w="45" w:type="dxa"/>
              <w:right w:w="45" w:type="dxa"/>
            </w:tcMar>
            <w:vAlign w:val="center"/>
          </w:tcPr>
          <w:p>
            <w:pPr>
              <w:spacing w:line="360" w:lineRule="auto"/>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11.1.3</w:t>
            </w:r>
          </w:p>
        </w:tc>
        <w:tc>
          <w:tcPr>
            <w:tcW w:w="382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bCs/>
                <w:kern w:val="0"/>
                <w:szCs w:val="21"/>
              </w:rPr>
              <w:t>（219）持有核材料数量达到法定要求的单位须</w:t>
            </w:r>
            <w:r>
              <w:rPr>
                <w:rFonts w:hint="eastAsia" w:ascii="宋体" w:hAnsi="宋体" w:eastAsia="宋体" w:cs="宋体"/>
                <w:kern w:val="0"/>
                <w:szCs w:val="21"/>
              </w:rPr>
              <w:t>取得核材料许可证，</w:t>
            </w:r>
            <w:r>
              <w:rPr>
                <w:rFonts w:hint="eastAsia" w:ascii="宋体" w:hAnsi="宋体" w:eastAsia="宋体" w:cs="宋体"/>
                <w:szCs w:val="21"/>
              </w:rPr>
              <w:t>有负责机构或指定专人负责核材料管制工作，核材料衡算和核安保工作执行国家法律法规要求。</w:t>
            </w:r>
          </w:p>
        </w:tc>
        <w:tc>
          <w:tcPr>
            <w:tcW w:w="2543" w:type="dxa"/>
            <w:tcMar>
              <w:left w:w="45" w:type="dxa"/>
              <w:right w:w="45" w:type="dxa"/>
            </w:tcMar>
            <w:vAlign w:val="center"/>
          </w:tcPr>
          <w:p>
            <w:pPr>
              <w:spacing w:line="360" w:lineRule="auto"/>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11.2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11.2.1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辐射设施和场所应设有警示、联锁和报警装置</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（220）放射源储存库应设“双人双锁”，并有安全报警系统和视频监控系统。</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（221）辐照设施设备和射线装置具有能正常工作的安全联锁装置和报警装置，有明显的安全警示标识、警戒线和剂量报警仪。</w:t>
            </w:r>
          </w:p>
        </w:tc>
        <w:tc>
          <w:tcPr>
            <w:tcW w:w="2543" w:type="dxa"/>
            <w:tcMar>
              <w:left w:w="45" w:type="dxa"/>
              <w:right w:w="45" w:type="dxa"/>
            </w:tcMar>
            <w:vAlign w:val="center"/>
          </w:tcPr>
          <w:p>
            <w:pPr>
              <w:spacing w:line="360" w:lineRule="auto"/>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11.2.2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szCs w:val="21"/>
              </w:rPr>
              <w:t>辐射实验场所每年有合格的实验场所检测报告</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（222）查</w:t>
            </w:r>
            <w:r>
              <w:rPr>
                <w:rFonts w:hint="eastAsia" w:ascii="宋体" w:hAnsi="宋体" w:eastAsia="宋体" w:cs="宋体"/>
                <w:kern w:val="0"/>
                <w:szCs w:val="21"/>
              </w:rPr>
              <w:t>看场所辐射环境监测报告。</w:t>
            </w:r>
          </w:p>
        </w:tc>
        <w:tc>
          <w:tcPr>
            <w:tcW w:w="2543" w:type="dxa"/>
            <w:tcMar>
              <w:left w:w="45" w:type="dxa"/>
              <w:right w:w="45" w:type="dxa"/>
            </w:tcMar>
            <w:vAlign w:val="center"/>
          </w:tcPr>
          <w:p>
            <w:pPr>
              <w:spacing w:line="360" w:lineRule="auto"/>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11.2.3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放射性物质的转让、转移和运输应按规定报批</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（223）放射源和放射性物质转让转移有学校及生态环境部门的审批备案材料，转让转移前必须先做环境影响评价工作。</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（224）放射性物质的转移和运输有学校及公安部门的审批备案材料。</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（225）放射性物质以及射线装置储存和使用场所变更应重新开展环境影响评价。</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11.3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11.3.1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（226）重点关注γ辐照、电子加速器、射线探伤仪、非密封放射性实验操作、V类以上的密封性放射性实验操作。</w:t>
            </w:r>
            <w:bookmarkStart w:id="1" w:name="_Hlk67119357"/>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（227）查看辐射事故应急预案</w:t>
            </w:r>
            <w:bookmarkEnd w:id="1"/>
            <w:r>
              <w:rPr>
                <w:rFonts w:hint="eastAsia" w:ascii="宋体" w:hAnsi="宋体" w:eastAsia="宋体" w:cs="宋体"/>
                <w:kern w:val="0"/>
                <w:szCs w:val="21"/>
              </w:rPr>
              <w:t>及应急演练记录（每年不少于一次演练）。</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11.3.2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（228）中、长半衰期核素固液废物有符合国家相关规定的处置方案或回收协议，短半衰期核素固液废弃物放置10个半衰期经检测达标并经审管部门的批准可以作为普通废物处理，并有处置记录。</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（229）报废含有放射源或可产生放射性的设备，须报学校管理部门同意，并按国家规定进行退役处置。</w:t>
            </w:r>
            <w:r>
              <w:rPr>
                <w:rFonts w:hint="eastAsia" w:ascii="宋体" w:hAnsi="宋体" w:eastAsia="宋体" w:cs="宋体"/>
                <w:bCs/>
                <w:kern w:val="0"/>
                <w:szCs w:val="21"/>
              </w:rPr>
              <w:t>X光管报废时应破坏高压设备，拍照留存。</w:t>
            </w:r>
          </w:p>
          <w:p>
            <w:pPr>
              <w:widowControl/>
              <w:spacing w:line="300" w:lineRule="exact"/>
              <w:rPr>
                <w:rFonts w:hint="eastAsia" w:ascii="宋体" w:hAnsi="宋体" w:eastAsia="宋体" w:cs="宋体"/>
                <w:kern w:val="0"/>
                <w:szCs w:val="21"/>
              </w:rPr>
            </w:pPr>
            <w:r>
              <w:rPr>
                <w:rFonts w:hint="eastAsia" w:ascii="宋体" w:hAnsi="宋体" w:eastAsia="宋体" w:cs="宋体"/>
                <w:bCs/>
                <w:kern w:val="0"/>
                <w:szCs w:val="21"/>
              </w:rPr>
              <w:t>（230）</w:t>
            </w:r>
            <w:r>
              <w:rPr>
                <w:rFonts w:hint="eastAsia" w:ascii="宋体" w:hAnsi="宋体" w:eastAsia="宋体" w:cs="宋体"/>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11.3.3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bookmarkStart w:id="2" w:name="_Hlk67118907"/>
            <w:r>
              <w:rPr>
                <w:rFonts w:hint="eastAsia" w:ascii="宋体" w:hAnsi="宋体" w:eastAsia="宋体" w:cs="宋体"/>
                <w:kern w:val="0"/>
                <w:szCs w:val="21"/>
              </w:rPr>
              <w:t>（231）相关实验室应当配置专门的放射性废物收集桶；放射性废液送贮前应进行固化整备。</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（232）放射性废物应及时送交</w:t>
            </w:r>
            <w:bookmarkEnd w:id="2"/>
            <w:r>
              <w:rPr>
                <w:rFonts w:hint="eastAsia" w:ascii="宋体" w:hAnsi="宋体" w:eastAsia="宋体" w:cs="宋体"/>
                <w:kern w:val="0"/>
                <w:szCs w:val="21"/>
              </w:rPr>
              <w:t>有资质的放射性废物集中贮存单位贮存。</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（233）排放气态或液态放射性流出物应严格按照环评和地方生态环境部门批准的排放量和排放方式执行。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12.1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12.1.1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hint="eastAsia" w:ascii="宋体" w:hAnsi="宋体" w:eastAsia="宋体" w:cs="宋体"/>
                <w:b/>
                <w:bCs/>
                <w:kern w:val="0"/>
                <w:szCs w:val="21"/>
              </w:rPr>
            </w:pPr>
            <w:r>
              <w:rPr>
                <w:rFonts w:hint="eastAsia" w:ascii="宋体" w:hAnsi="宋体" w:eastAsia="宋体" w:cs="宋体"/>
                <w:kern w:val="0"/>
                <w:szCs w:val="21"/>
              </w:rPr>
              <w:t>（234）查看电子或纸质台账。</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12.1.2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大型、特种设备的使用须符合相关规定</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（235）大型仪器设备、高功率的设备与电路容量相匹配，有设备运行维护的记录，有安全操作规程或注意事项。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12.1.3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仪器设备的接地和用电符合相关要求</w:t>
            </w:r>
          </w:p>
        </w:tc>
        <w:tc>
          <w:tcPr>
            <w:tcW w:w="766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szCs w:val="21"/>
              </w:rPr>
              <w:t>（236）仪器设备接地系统应按规范要求，采用铜质材料，接地电阻不高于0.5欧。</w:t>
            </w:r>
          </w:p>
          <w:p>
            <w:pPr>
              <w:widowControl/>
              <w:spacing w:line="300" w:lineRule="exact"/>
              <w:rPr>
                <w:rFonts w:hint="eastAsia" w:ascii="宋体" w:hAnsi="宋体" w:eastAsia="宋体" w:cs="宋体"/>
                <w:kern w:val="0"/>
                <w:szCs w:val="21"/>
              </w:rPr>
            </w:pPr>
            <w:r>
              <w:rPr>
                <w:rFonts w:hint="eastAsia" w:ascii="宋体" w:hAnsi="宋体" w:eastAsia="宋体" w:cs="宋体"/>
                <w:szCs w:val="21"/>
              </w:rPr>
              <w:t>（237）电脑、空调、电加热器等不随意开机过夜。</w:t>
            </w:r>
            <w:r>
              <w:rPr>
                <w:rFonts w:hint="eastAsia" w:ascii="宋体" w:hAnsi="宋体" w:eastAsia="宋体" w:cs="宋体"/>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12.1.4</w:t>
            </w:r>
          </w:p>
        </w:tc>
        <w:tc>
          <w:tcPr>
            <w:tcW w:w="3820"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szCs w:val="21"/>
              </w:rPr>
              <w:t>特殊设备应配备相应安全防护措施</w:t>
            </w:r>
          </w:p>
        </w:tc>
        <w:tc>
          <w:tcPr>
            <w:tcW w:w="766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kern w:val="0"/>
                <w:szCs w:val="21"/>
              </w:rPr>
              <w:t>（238）关注高温、高压、高速运动、电磁辐射等特殊设备，对使用者有培训要求，有安全警示标识和</w:t>
            </w:r>
            <w:r>
              <w:rPr>
                <w:rFonts w:hint="eastAsia" w:ascii="宋体" w:hAnsi="宋体" w:eastAsia="宋体" w:cs="宋体"/>
                <w:szCs w:val="21"/>
              </w:rPr>
              <w:t>安全警示线（黄色），设备安全防护措施完好。</w:t>
            </w:r>
          </w:p>
          <w:p>
            <w:pPr>
              <w:widowControl/>
              <w:spacing w:line="300" w:lineRule="exact"/>
              <w:rPr>
                <w:rFonts w:hint="eastAsia" w:ascii="宋体" w:hAnsi="宋体" w:eastAsia="宋体" w:cs="宋体"/>
                <w:bCs/>
                <w:kern w:val="0"/>
                <w:szCs w:val="21"/>
              </w:rPr>
            </w:pPr>
            <w:r>
              <w:rPr>
                <w:rFonts w:hint="eastAsia" w:ascii="宋体" w:hAnsi="宋体" w:eastAsia="宋体" w:cs="宋体"/>
                <w:szCs w:val="21"/>
              </w:rPr>
              <w:t>（239）</w:t>
            </w:r>
            <w:r>
              <w:rPr>
                <w:rFonts w:hint="eastAsia" w:ascii="宋体" w:hAnsi="宋体" w:eastAsia="宋体" w:cs="宋体"/>
                <w:kern w:val="0"/>
                <w:szCs w:val="21"/>
              </w:rPr>
              <w:t>非标准设备、自制设备应经安全论证合格后方可使用，并须充分考虑安全系数，并有安全防护措施。</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12.2</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12.2.1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机械设备应保持清洁整齐，可靠接地</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（240）机床应保持清洁整齐，严禁在床头、床面、刀架上放置物品。</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（241）机械设备可靠接地，实验结束后，应切断电源，整理好场地并将实验用具等摆放整齐，及时清理机械设备产生的废渣、废屑。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12.2.2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操作机械设备时实验人员应做好个体防护</w:t>
            </w:r>
          </w:p>
        </w:tc>
        <w:tc>
          <w:tcPr>
            <w:tcW w:w="7660" w:type="dxa"/>
            <w:tcMar>
              <w:left w:w="45" w:type="dxa"/>
              <w:right w:w="45" w:type="dxa"/>
            </w:tcMar>
            <w:vAlign w:val="center"/>
          </w:tcPr>
          <w:p>
            <w:pPr>
              <w:rPr>
                <w:rFonts w:hint="eastAsia" w:ascii="宋体" w:hAnsi="宋体" w:eastAsia="宋体" w:cs="宋体"/>
                <w:kern w:val="0"/>
              </w:rPr>
            </w:pPr>
            <w:r>
              <w:rPr>
                <w:rFonts w:hint="eastAsia" w:ascii="宋体" w:hAnsi="宋体" w:eastAsia="宋体" w:cs="宋体"/>
                <w:kern w:val="0"/>
              </w:rPr>
              <w:t>（242）个人防护用品要穿戴齐全，如工作服、工作帽、工作鞋、防护眼镜等。操作冷加工设备必须穿“三紧式”工作服，不能留长发（长发要盘在工作帽内），禁止戴手套。</w:t>
            </w:r>
          </w:p>
          <w:p>
            <w:pPr>
              <w:rPr>
                <w:rFonts w:hint="eastAsia" w:ascii="宋体" w:hAnsi="宋体" w:eastAsia="宋体" w:cs="宋体"/>
                <w:kern w:val="0"/>
                <w:szCs w:val="21"/>
              </w:rPr>
            </w:pPr>
            <w:r>
              <w:rPr>
                <w:rFonts w:hint="eastAsia" w:ascii="宋体" w:hAnsi="宋体" w:eastAsia="宋体" w:cs="宋体"/>
                <w:kern w:val="0"/>
              </w:rPr>
              <w:t>（243）</w:t>
            </w:r>
            <w:r>
              <w:rPr>
                <w:rFonts w:hint="eastAsia" w:ascii="宋体" w:hAnsi="宋体" w:eastAsia="宋体" w:cs="宋体"/>
                <w:kern w:val="0"/>
                <w:szCs w:val="21"/>
              </w:rPr>
              <w:t>进入高速切削机械操作工作场所，穿好工作服工作鞋、戴好防护眼镜、扣紧衣袖口、戴好工作帽（长发学生</w:t>
            </w:r>
            <w:r>
              <w:rPr>
                <w:rFonts w:hint="eastAsia" w:ascii="宋体" w:hAnsi="宋体" w:eastAsia="宋体" w:cs="宋体"/>
                <w:kern w:val="0"/>
              </w:rPr>
              <w:t>必须将长发盘在工作帽内</w:t>
            </w:r>
            <w:r>
              <w:rPr>
                <w:rFonts w:hint="eastAsia" w:ascii="宋体" w:hAnsi="宋体" w:eastAsia="宋体" w:cs="宋体"/>
                <w:kern w:val="0"/>
                <w:szCs w:val="21"/>
              </w:rPr>
              <w:t>），禁止戴手套、长围巾、领带、手镯等配饰物，禁穿拖鞋、高跟鞋等。设备运转时严禁用手调整工件。</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12.2.3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（244）铸造实验场地宽敞、通道畅通，使用设备前，操作者要按要求穿戴好防护用品。</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（245）盐浴炉加热零件必须预先烘干，并用铁丝绑牢，缓慢放入炉中，以防盐液炸崩烫伤。</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（246）淬火油槽不得有水，油量不能过少，以免发生火灾。</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（247）与铁水接触的一切工具，使用前必须加热，严禁将冷的工具伸入铁水内，以免引起爆炸。</w:t>
            </w:r>
          </w:p>
          <w:p>
            <w:pPr>
              <w:widowControl/>
              <w:spacing w:line="300" w:lineRule="exact"/>
              <w:rPr>
                <w:rFonts w:hint="eastAsia" w:ascii="宋体" w:hAnsi="宋体" w:eastAsia="宋体" w:cs="宋体"/>
                <w:b/>
                <w:bCs/>
                <w:kern w:val="0"/>
                <w:szCs w:val="21"/>
              </w:rPr>
            </w:pPr>
            <w:r>
              <w:rPr>
                <w:rFonts w:hint="eastAsia" w:ascii="宋体" w:hAnsi="宋体" w:eastAsia="宋体" w:cs="宋体"/>
                <w:kern w:val="0"/>
                <w:szCs w:val="21"/>
              </w:rPr>
              <w:t>（248）锻压设备不得空打或大力敲打过薄锻件，锻造时锻件应达到850 ℃以上，锻锤空置时应垫有木块。</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spacing w:line="300" w:lineRule="exact"/>
              <w:rPr>
                <w:rFonts w:hint="eastAsia" w:ascii="宋体" w:hAnsi="宋体" w:eastAsia="宋体" w:cs="宋体"/>
                <w:szCs w:val="21"/>
              </w:rPr>
            </w:pPr>
            <w:r>
              <w:rPr>
                <w:rFonts w:hint="eastAsia" w:ascii="宋体" w:hAnsi="宋体" w:eastAsia="宋体" w:cs="宋体"/>
                <w:kern w:val="0"/>
                <w:szCs w:val="21"/>
              </w:rPr>
              <w:t>12.2.4</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高空作业应符合相关操作规程</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（249）在坠落高度基准面2米及以上有可能坠落的高处进行作业，须穿防滑鞋、佩戴安全帽、使用安全带。</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（250）临边作业须在临空一侧设置防护栏杆，有相关安全操作规程。</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12.3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12.3.1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hint="eastAsia" w:ascii="宋体" w:hAnsi="宋体" w:eastAsia="宋体" w:cs="宋体"/>
                <w:kern w:val="0"/>
                <w:szCs w:val="21"/>
              </w:rPr>
            </w:pPr>
            <w:r>
              <w:rPr>
                <w:rFonts w:hint="eastAsia" w:ascii="宋体" w:hAnsi="宋体" w:eastAsia="宋体" w:cs="宋体"/>
                <w:kern w:val="0"/>
                <w:szCs w:val="21"/>
              </w:rPr>
              <w:t>（251）各种电器设备及电线应始终保持干燥，防止浸湿，以防短路引起火灾或烧坏电气设备。</w:t>
            </w:r>
          </w:p>
          <w:p>
            <w:pPr>
              <w:widowControl/>
              <w:tabs>
                <w:tab w:val="left" w:pos="4321"/>
              </w:tabs>
              <w:spacing w:line="300" w:lineRule="exact"/>
              <w:rPr>
                <w:rFonts w:hint="eastAsia" w:ascii="宋体" w:hAnsi="宋体" w:eastAsia="宋体" w:cs="宋体"/>
                <w:szCs w:val="21"/>
              </w:rPr>
            </w:pPr>
            <w:r>
              <w:rPr>
                <w:rFonts w:hint="eastAsia" w:ascii="宋体" w:hAnsi="宋体" w:eastAsia="宋体" w:cs="宋体"/>
                <w:kern w:val="0"/>
                <w:szCs w:val="21"/>
              </w:rPr>
              <w:t>（252）</w:t>
            </w:r>
            <w:r>
              <w:rPr>
                <w:rFonts w:hint="eastAsia" w:ascii="宋体" w:hAnsi="宋体" w:eastAsia="宋体" w:cs="宋体"/>
                <w:szCs w:val="21"/>
              </w:rPr>
              <w:t>实验室内的功能间墙面都应设有专用接地母排，并设有多点接地引出端。</w:t>
            </w:r>
          </w:p>
          <w:p>
            <w:pPr>
              <w:widowControl/>
              <w:tabs>
                <w:tab w:val="left" w:pos="4321"/>
              </w:tabs>
              <w:spacing w:line="300" w:lineRule="exact"/>
              <w:rPr>
                <w:rFonts w:hint="eastAsia" w:ascii="宋体" w:hAnsi="宋体" w:eastAsia="宋体" w:cs="宋体"/>
                <w:kern w:val="0"/>
                <w:szCs w:val="21"/>
              </w:rPr>
            </w:pPr>
            <w:r>
              <w:rPr>
                <w:rFonts w:hint="eastAsia" w:ascii="宋体" w:hAnsi="宋体" w:eastAsia="宋体" w:cs="宋体"/>
                <w:szCs w:val="21"/>
              </w:rPr>
              <w:t>（253）高压、大电流等强电实验室</w:t>
            </w:r>
            <w:r>
              <w:rPr>
                <w:rFonts w:hint="eastAsia" w:ascii="宋体" w:hAnsi="宋体" w:eastAsia="宋体" w:cs="宋体"/>
                <w:kern w:val="0"/>
                <w:szCs w:val="21"/>
              </w:rPr>
              <w:t>要设定安全距离，按规定设置安全警示牌、安全信号灯、联动式警铃、门锁，有安全隔离装置或屏蔽遮栏（由金属制成，并可靠接地，</w:t>
            </w:r>
            <w:r>
              <w:rPr>
                <w:rFonts w:hint="eastAsia" w:ascii="宋体" w:hAnsi="宋体" w:eastAsia="宋体" w:cs="宋体"/>
                <w:szCs w:val="21"/>
              </w:rPr>
              <w:t>高度不低于2米</w:t>
            </w:r>
            <w:r>
              <w:rPr>
                <w:rFonts w:hint="eastAsia" w:ascii="宋体" w:hAnsi="宋体" w:eastAsia="宋体" w:cs="宋体"/>
                <w:kern w:val="0"/>
                <w:szCs w:val="21"/>
              </w:rPr>
              <w:t>）。</w:t>
            </w:r>
          </w:p>
          <w:p>
            <w:pPr>
              <w:widowControl/>
              <w:tabs>
                <w:tab w:val="left" w:pos="4321"/>
              </w:tabs>
              <w:spacing w:line="300" w:lineRule="exact"/>
              <w:rPr>
                <w:rFonts w:hint="eastAsia" w:ascii="宋体" w:hAnsi="宋体" w:eastAsia="宋体" w:cs="宋体"/>
                <w:kern w:val="0"/>
                <w:szCs w:val="21"/>
              </w:rPr>
            </w:pPr>
            <w:r>
              <w:rPr>
                <w:rFonts w:hint="eastAsia" w:ascii="宋体" w:hAnsi="宋体" w:eastAsia="宋体" w:cs="宋体"/>
                <w:kern w:val="0"/>
                <w:szCs w:val="21"/>
              </w:rPr>
              <w:t>（254）控制室（控制台）应铺橡胶、绝缘垫等。</w:t>
            </w:r>
          </w:p>
          <w:p>
            <w:pPr>
              <w:widowControl/>
              <w:tabs>
                <w:tab w:val="left" w:pos="4321"/>
              </w:tabs>
              <w:spacing w:line="300" w:lineRule="exact"/>
              <w:rPr>
                <w:rFonts w:hint="eastAsia" w:ascii="宋体" w:hAnsi="宋体" w:eastAsia="宋体" w:cs="宋体"/>
                <w:szCs w:val="21"/>
              </w:rPr>
            </w:pPr>
            <w:r>
              <w:rPr>
                <w:rFonts w:hint="eastAsia" w:ascii="宋体" w:hAnsi="宋体" w:eastAsia="宋体" w:cs="宋体"/>
                <w:kern w:val="0"/>
                <w:szCs w:val="21"/>
              </w:rPr>
              <w:t>（255）</w:t>
            </w:r>
            <w:r>
              <w:rPr>
                <w:rFonts w:hint="eastAsia" w:ascii="宋体" w:hAnsi="宋体" w:eastAsia="宋体" w:cs="宋体"/>
                <w:szCs w:val="21"/>
              </w:rPr>
              <w:t>强电实验室禁止存放易燃、易爆、易腐品，保持通风散热。</w:t>
            </w:r>
          </w:p>
          <w:p>
            <w:pPr>
              <w:widowControl/>
              <w:tabs>
                <w:tab w:val="left" w:pos="4321"/>
              </w:tabs>
              <w:spacing w:line="300" w:lineRule="exact"/>
              <w:rPr>
                <w:rFonts w:hint="eastAsia" w:ascii="宋体" w:hAnsi="宋体" w:eastAsia="宋体" w:cs="宋体"/>
                <w:szCs w:val="21"/>
              </w:rPr>
            </w:pPr>
            <w:r>
              <w:rPr>
                <w:rFonts w:hint="eastAsia" w:ascii="宋体" w:hAnsi="宋体" w:eastAsia="宋体" w:cs="宋体"/>
                <w:szCs w:val="21"/>
              </w:rPr>
              <w:t>（256）应为设备配备残余电流泄放专用的接地系统。</w:t>
            </w:r>
          </w:p>
          <w:p>
            <w:pPr>
              <w:widowControl/>
              <w:tabs>
                <w:tab w:val="left" w:pos="4321"/>
              </w:tabs>
              <w:spacing w:line="300" w:lineRule="exact"/>
              <w:rPr>
                <w:rFonts w:hint="eastAsia" w:ascii="宋体" w:hAnsi="宋体" w:eastAsia="宋体" w:cs="宋体"/>
                <w:szCs w:val="21"/>
              </w:rPr>
            </w:pPr>
            <w:r>
              <w:rPr>
                <w:rFonts w:hint="eastAsia" w:ascii="宋体" w:hAnsi="宋体" w:eastAsia="宋体" w:cs="宋体"/>
                <w:szCs w:val="21"/>
              </w:rPr>
              <w:t>（257）禁止在有可燃气体泄露隐患的环境中使用电动工具；电烙铁有专门搁架，用毕立即切断电源。</w:t>
            </w:r>
          </w:p>
          <w:p>
            <w:pPr>
              <w:widowControl/>
              <w:tabs>
                <w:tab w:val="left" w:pos="4321"/>
              </w:tabs>
              <w:spacing w:line="300" w:lineRule="exact"/>
              <w:rPr>
                <w:rFonts w:hint="eastAsia" w:ascii="宋体" w:hAnsi="宋体" w:eastAsia="宋体" w:cs="宋体"/>
                <w:kern w:val="0"/>
                <w:szCs w:val="21"/>
              </w:rPr>
            </w:pPr>
            <w:r>
              <w:rPr>
                <w:rFonts w:hint="eastAsia" w:ascii="宋体" w:hAnsi="宋体" w:eastAsia="宋体" w:cs="宋体"/>
                <w:szCs w:val="21"/>
              </w:rPr>
              <w:t>（258）强磁设备应配备与大地相连的金属屏蔽网。</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12.3.2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操作电气设备应配备合适的防护器具</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（259）强电类高电压实验必须二人（含）以上，操作时应戴绝缘手套；防护器具按规定进行周期试验或定期更换；</w:t>
            </w:r>
            <w:r>
              <w:rPr>
                <w:rFonts w:hint="eastAsia" w:ascii="宋体" w:hAnsi="宋体" w:eastAsia="宋体" w:cs="宋体"/>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12.4</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12.4.1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bCs/>
                <w:kern w:val="0"/>
                <w:szCs w:val="21"/>
              </w:rPr>
              <w:t>激光实验室配有完备的安全屏蔽设施</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（260）功率较大的激光器有互锁装置、防护罩，激光照射方向不会对他人造成伤害，防止激光发射口及反射镜上扬。</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12.4.2</w:t>
            </w:r>
          </w:p>
        </w:tc>
        <w:tc>
          <w:tcPr>
            <w:tcW w:w="382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激光实验时须佩戴合适的个体防护用具</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（261）操作人员穿戴防护眼镜等防护用品、不带手表等能反光的物品，</w:t>
            </w:r>
            <w:r>
              <w:rPr>
                <w:rFonts w:hint="eastAsia" w:ascii="宋体" w:hAnsi="宋体" w:eastAsia="宋体" w:cs="宋体"/>
                <w:szCs w:val="21"/>
                <w:shd w:val="clear" w:color="auto" w:fill="FFFFFF"/>
              </w:rPr>
              <w:t>禁止直视激光束和它的反向光束，禁止对激光器件做任何目视准直操作，</w:t>
            </w:r>
            <w:r>
              <w:rPr>
                <w:rFonts w:hint="eastAsia" w:ascii="宋体" w:hAnsi="宋体" w:eastAsia="宋体" w:cs="宋体"/>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12.4.3</w:t>
            </w:r>
          </w:p>
        </w:tc>
        <w:tc>
          <w:tcPr>
            <w:tcW w:w="382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警告标识</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Cs/>
                <w:kern w:val="0"/>
                <w:szCs w:val="21"/>
              </w:rPr>
              <w:t>（262）所有激光区域内张贴警告标识。</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12.5</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12.5.1</w:t>
            </w:r>
          </w:p>
        </w:tc>
        <w:tc>
          <w:tcPr>
            <w:tcW w:w="382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rPr>
              <w:t>粉尘爆炸危险场所，</w:t>
            </w:r>
            <w:r>
              <w:rPr>
                <w:rFonts w:hint="eastAsia" w:ascii="宋体" w:hAnsi="宋体" w:eastAsia="宋体" w:cs="宋体"/>
                <w:kern w:val="0"/>
                <w:szCs w:val="21"/>
              </w:rPr>
              <w:t>应选用防爆型的电气设备</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（263）防爆灯、防爆电气开关，导线敷设应选用镀锌管，必须达到整体防爆要求。</w:t>
            </w:r>
          </w:p>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（264）粉尘加工要有除尘装置，除尘器符合防静电安全要求，除尘设施应有阻爆、隔爆、泄爆装置，使用工具具有防爆功能或不产生火花。</w:t>
            </w:r>
          </w:p>
        </w:tc>
        <w:tc>
          <w:tcPr>
            <w:tcW w:w="2543" w:type="dxa"/>
            <w:tcMar>
              <w:left w:w="45" w:type="dxa"/>
              <w:right w:w="45" w:type="dxa"/>
            </w:tcMar>
            <w:vAlign w:val="center"/>
          </w:tcPr>
          <w:p>
            <w:pPr>
              <w:pStyle w:val="55"/>
              <w:spacing w:line="360" w:lineRule="auto"/>
              <w:ind w:firstLine="0" w:firstLineChars="0"/>
              <w:rPr>
                <w:rFonts w:hint="eastAsia" w:ascii="宋体" w:hAnsi="宋体" w:eastAsia="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12.5.2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产生粉尘的实验场所，须穿戴合适的个体防护用具</w:t>
            </w:r>
          </w:p>
        </w:tc>
        <w:tc>
          <w:tcPr>
            <w:tcW w:w="7660" w:type="dxa"/>
            <w:tcMar>
              <w:left w:w="45" w:type="dxa"/>
              <w:right w:w="45" w:type="dxa"/>
            </w:tcMar>
            <w:vAlign w:val="center"/>
          </w:tcPr>
          <w:p>
            <w:pPr>
              <w:rPr>
                <w:rFonts w:hint="eastAsia" w:ascii="宋体" w:hAnsi="宋体" w:eastAsia="宋体" w:cs="宋体"/>
                <w:bCs/>
                <w:kern w:val="0"/>
                <w:szCs w:val="21"/>
              </w:rPr>
            </w:pPr>
            <w:r>
              <w:rPr>
                <w:rFonts w:hint="eastAsia" w:ascii="宋体" w:hAnsi="宋体" w:eastAsia="宋体" w:cs="宋体"/>
                <w:kern w:val="0"/>
              </w:rPr>
              <w:t>（265）粉尘爆炸危险场所</w:t>
            </w:r>
            <w:r>
              <w:rPr>
                <w:rFonts w:hint="eastAsia" w:ascii="宋体" w:hAnsi="宋体" w:eastAsia="宋体" w:cs="宋体"/>
                <w:kern w:val="0"/>
                <w:szCs w:val="21"/>
              </w:rPr>
              <w:t>应穿防静电服装，禁止穿化纤材料制作的衣服，工作时必须佩戴防尘口罩和护耳器。</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12.5.3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kern w:val="0"/>
                <w:szCs w:val="21"/>
              </w:rPr>
              <w:t>（266）粉尘浓度较高的场所，适当配备加湿装置；配备合适的灭火装置。</w:t>
            </w:r>
          </w:p>
        </w:tc>
        <w:tc>
          <w:tcPr>
            <w:tcW w:w="2543" w:type="dxa"/>
            <w:tcMar>
              <w:left w:w="45" w:type="dxa"/>
              <w:right w:w="45" w:type="dxa"/>
            </w:tcMar>
            <w:vAlign w:val="center"/>
          </w:tcPr>
          <w:p>
            <w:pPr>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13.1</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13.1.1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达到《特种设备目录》中起重机械指标的起重设备须取得《特种设备使用登记证》</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267）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hint="eastAsia" w:ascii="宋体" w:hAnsi="宋体" w:eastAsia="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13.1.2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起重机械作业人员、检验单位须有相关资质</w:t>
            </w:r>
          </w:p>
        </w:tc>
        <w:tc>
          <w:tcPr>
            <w:tcW w:w="766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（268）起重机指挥、起重机司机须取得相应的《特种设备安全管理和作业人员证》，持证上岗，并每4年复审一次。</w:t>
            </w:r>
          </w:p>
          <w:p>
            <w:pPr>
              <w:rPr>
                <w:rFonts w:hint="eastAsia" w:ascii="宋体" w:hAnsi="宋体" w:eastAsia="宋体" w:cs="宋体"/>
                <w:kern w:val="0"/>
                <w:szCs w:val="21"/>
              </w:rPr>
            </w:pPr>
            <w:r>
              <w:rPr>
                <w:rFonts w:hint="eastAsia" w:ascii="宋体" w:hAnsi="宋体" w:eastAsia="宋体" w:cs="宋体"/>
                <w:kern w:val="0"/>
                <w:szCs w:val="21"/>
              </w:rPr>
              <w:t>（269）委托有资质单位进行定期检验，并将定期检验合格证置于特种设备显著位置。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13.1.3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起重机械须定期保养，设置警示标识，安装防护设施</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（270）在用起重机械至少每月进行一次日常维护保养和自行检查，并作记录。</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（271）制定安全操作规程，并在周边醒目位置张贴警示标识，有必要的安全距离和防护措施。</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（272）起重设备声光报警正常，室内起重设备应标有运行通道。</w:t>
            </w:r>
          </w:p>
          <w:p>
            <w:pPr>
              <w:widowControl/>
              <w:spacing w:line="300" w:lineRule="exact"/>
              <w:rPr>
                <w:rFonts w:hint="eastAsia" w:ascii="宋体" w:hAnsi="宋体" w:eastAsia="宋体" w:cs="宋体"/>
                <w:b/>
                <w:bCs/>
                <w:kern w:val="0"/>
                <w:szCs w:val="21"/>
              </w:rPr>
            </w:pPr>
            <w:r>
              <w:rPr>
                <w:rFonts w:hint="eastAsia" w:ascii="宋体" w:hAnsi="宋体" w:eastAsia="宋体" w:cs="宋体"/>
                <w:kern w:val="0"/>
                <w:szCs w:val="21"/>
              </w:rPr>
              <w:t>（273）废弃不用的起重机械应及时拆除。</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13.2</w:t>
            </w:r>
          </w:p>
        </w:tc>
        <w:tc>
          <w:tcPr>
            <w:tcW w:w="14023" w:type="dxa"/>
            <w:gridSpan w:val="3"/>
            <w:tcMar>
              <w:left w:w="45" w:type="dxa"/>
              <w:right w:w="45" w:type="dxa"/>
            </w:tcMar>
            <w:vAlign w:val="center"/>
          </w:tcPr>
          <w:p>
            <w:pPr>
              <w:widowControl/>
              <w:spacing w:line="300" w:lineRule="exact"/>
              <w:rPr>
                <w:rFonts w:hint="eastAsia" w:ascii="宋体" w:hAnsi="宋体" w:eastAsia="宋体" w:cs="宋体"/>
                <w:bCs/>
                <w:kern w:val="0"/>
                <w:szCs w:val="21"/>
              </w:rPr>
            </w:pPr>
            <w:r>
              <w:rPr>
                <w:rFonts w:hint="eastAsia" w:ascii="宋体" w:hAnsi="宋体" w:eastAsia="宋体" w:cs="宋体"/>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13.2.1</w:t>
            </w:r>
          </w:p>
        </w:tc>
        <w:tc>
          <w:tcPr>
            <w:tcW w:w="382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color w:val="000000" w:themeColor="text1"/>
                <w:kern w:val="0"/>
                <w:szCs w:val="21"/>
                <w14:textFill>
                  <w14:solidFill>
                    <w14:schemeClr w14:val="tx1"/>
                  </w14:solidFill>
                </w14:textFill>
              </w:rPr>
              <w:t>压力容器使用登记、相关人员资格</w:t>
            </w:r>
          </w:p>
        </w:tc>
        <w:tc>
          <w:tcPr>
            <w:tcW w:w="766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274）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以及氧舱，</w:t>
            </w:r>
            <w:r>
              <w:rPr>
                <w:rFonts w:hint="eastAsia" w:ascii="宋体" w:hAnsi="宋体" w:eastAsia="宋体" w:cs="宋体"/>
                <w:bCs/>
                <w:kern w:val="0"/>
                <w:szCs w:val="21"/>
              </w:rPr>
              <w:t>须</w:t>
            </w:r>
            <w:r>
              <w:rPr>
                <w:rFonts w:hint="eastAsia" w:ascii="宋体" w:hAnsi="宋体" w:eastAsia="宋体" w:cs="宋体"/>
                <w:kern w:val="0"/>
                <w:szCs w:val="21"/>
              </w:rPr>
              <w:t>取得《特种设备使用登记证》。设备铭牌上标明为简单压力容器不需办理。（气瓶的安全检查要点见9.6）。</w:t>
            </w:r>
          </w:p>
          <w:p>
            <w:pPr>
              <w:widowControl/>
              <w:rPr>
                <w:rFonts w:hint="eastAsia" w:ascii="宋体" w:hAnsi="宋体" w:eastAsia="宋体" w:cs="宋体"/>
                <w:kern w:val="0"/>
                <w:szCs w:val="21"/>
              </w:rPr>
            </w:pPr>
            <w:r>
              <w:rPr>
                <w:rFonts w:hint="eastAsia" w:ascii="宋体" w:hAnsi="宋体" w:eastAsia="宋体" w:cs="宋体"/>
                <w:kern w:val="0"/>
              </w:rPr>
              <w:t>（275）快开门式压力容器操作人员、移动式压力容器充装人员、氧舱维护保养人员、特种设备安全管理员应</w:t>
            </w:r>
            <w:r>
              <w:rPr>
                <w:rFonts w:hint="eastAsia" w:ascii="宋体" w:hAnsi="宋体" w:eastAsia="宋体" w:cs="宋体"/>
                <w:kern w:val="0"/>
                <w:szCs w:val="21"/>
              </w:rPr>
              <w:t>取得相应的《特种设备安全管理和作业人员证》，持证上岗，并每4年复审一次。</w:t>
            </w:r>
          </w:p>
        </w:tc>
        <w:tc>
          <w:tcPr>
            <w:tcW w:w="2543" w:type="dxa"/>
            <w:tcMar>
              <w:left w:w="45" w:type="dxa"/>
              <w:right w:w="45" w:type="dxa"/>
            </w:tcMar>
            <w:vAlign w:val="center"/>
          </w:tcPr>
          <w:p>
            <w:pPr>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13.2.2</w:t>
            </w:r>
          </w:p>
        </w:tc>
        <w:tc>
          <w:tcPr>
            <w:tcW w:w="382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压力容器定期检验</w:t>
            </w:r>
          </w:p>
        </w:tc>
        <w:tc>
          <w:tcPr>
            <w:tcW w:w="7660" w:type="dxa"/>
            <w:tcMar>
              <w:left w:w="45" w:type="dxa"/>
              <w:right w:w="45" w:type="dxa"/>
            </w:tcMar>
            <w:vAlign w:val="center"/>
          </w:tcPr>
          <w:p>
            <w:pPr>
              <w:widowControl/>
              <w:rPr>
                <w:rFonts w:hint="eastAsia" w:ascii="宋体" w:hAnsi="宋体" w:eastAsia="宋体" w:cs="宋体"/>
                <w:kern w:val="0"/>
                <w:szCs w:val="21"/>
              </w:rPr>
            </w:pPr>
            <w:r>
              <w:rPr>
                <w:rFonts w:hint="eastAsia" w:ascii="宋体" w:hAnsi="宋体" w:eastAsia="宋体" w:cs="宋体"/>
                <w:kern w:val="0"/>
                <w:szCs w:val="21"/>
              </w:rPr>
              <w:t>（276）委托有资质单位进行定期检验，并将定期检验合格证置于特种设备显著位置</w:t>
            </w:r>
          </w:p>
          <w:p>
            <w:pPr>
              <w:rPr>
                <w:rFonts w:hint="eastAsia" w:ascii="宋体" w:hAnsi="宋体" w:eastAsia="宋体" w:cs="宋体"/>
                <w:kern w:val="0"/>
                <w:szCs w:val="21"/>
              </w:rPr>
            </w:pPr>
            <w:r>
              <w:rPr>
                <w:rFonts w:hint="eastAsia" w:ascii="宋体" w:hAnsi="宋体" w:eastAsia="宋体" w:cs="宋体"/>
                <w:kern w:val="0"/>
                <w:szCs w:val="21"/>
              </w:rPr>
              <w:t>（277）安全阀或压力表等附件须委托有资质单位定期校验或检定。</w:t>
            </w:r>
          </w:p>
        </w:tc>
        <w:tc>
          <w:tcPr>
            <w:tcW w:w="2543" w:type="dxa"/>
            <w:tcMar>
              <w:left w:w="45" w:type="dxa"/>
              <w:right w:w="45" w:type="dxa"/>
            </w:tcMar>
            <w:vAlign w:val="center"/>
          </w:tcPr>
          <w:p>
            <w:pPr>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13.2.3</w:t>
            </w:r>
          </w:p>
        </w:tc>
        <w:tc>
          <w:tcPr>
            <w:tcW w:w="382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压力容器使用管理</w:t>
            </w:r>
          </w:p>
        </w:tc>
        <w:tc>
          <w:tcPr>
            <w:tcW w:w="7660" w:type="dxa"/>
            <w:tcMar>
              <w:left w:w="45" w:type="dxa"/>
              <w:right w:w="45" w:type="dxa"/>
            </w:tcMar>
            <w:vAlign w:val="center"/>
          </w:tcPr>
          <w:p>
            <w:pP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（278）设置安全管理机构，配备安全管理负责人、安全管理人员和作业人员，建立各项安全管理制度，制定操作规程。</w:t>
            </w:r>
          </w:p>
          <w:p>
            <w:pP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（279）实验室应经常巡回检查，发现异常及时处理，并做记录。</w:t>
            </w:r>
          </w:p>
          <w:p>
            <w:pPr>
              <w:rPr>
                <w:rFonts w:hint="eastAsia" w:ascii="宋体" w:hAnsi="宋体" w:eastAsia="宋体" w:cs="宋体"/>
                <w:kern w:val="0"/>
                <w:szCs w:val="21"/>
              </w:rPr>
            </w:pPr>
            <w:r>
              <w:rPr>
                <w:rFonts w:hint="eastAsia" w:ascii="宋体" w:hAnsi="宋体" w:eastAsia="宋体" w:cs="宋体"/>
                <w:color w:val="000000" w:themeColor="text1"/>
                <w:kern w:val="0"/>
                <w:szCs w:val="21"/>
                <w14:textFill>
                  <w14:solidFill>
                    <w14:schemeClr w14:val="tx1"/>
                  </w14:solidFill>
                </w14:textFill>
              </w:rPr>
              <w:t>（280）建立压力容器自行检查</w:t>
            </w:r>
            <w:r>
              <w:rPr>
                <w:rFonts w:hint="eastAsia" w:ascii="宋体" w:hAnsi="宋体" w:eastAsia="宋体" w:cs="宋体"/>
                <w:kern w:val="0"/>
                <w:szCs w:val="21"/>
              </w:rPr>
              <w:t>制度，对压力容器本体及其安全附件、装卸附件安全保护装置、测量调控装置、附属仪器仪表进行经常性维护保养，每月至少进行1次月度检查，每年至少进行1次年度检查，并做记录。</w:t>
            </w:r>
          </w:p>
          <w:p>
            <w:pPr>
              <w:rPr>
                <w:rFonts w:hint="eastAsia" w:ascii="宋体" w:hAnsi="宋体" w:eastAsia="宋体" w:cs="宋体"/>
                <w:kern w:val="0"/>
                <w:szCs w:val="21"/>
              </w:rPr>
            </w:pPr>
            <w:r>
              <w:rPr>
                <w:rFonts w:hint="eastAsia" w:ascii="宋体" w:hAnsi="宋体" w:eastAsia="宋体" w:cs="宋体"/>
                <w:color w:val="000000" w:themeColor="text1"/>
                <w:kern w:val="0"/>
                <w:szCs w:val="21"/>
                <w14:textFill>
                  <w14:solidFill>
                    <w14:schemeClr w14:val="tx1"/>
                  </w14:solidFill>
                </w14:textFill>
              </w:rPr>
              <w:t>（281）</w:t>
            </w:r>
            <w:r>
              <w:rPr>
                <w:rFonts w:hint="eastAsia" w:ascii="宋体" w:hAnsi="宋体" w:eastAsia="宋体" w:cs="宋体"/>
                <w:kern w:val="0"/>
                <w:szCs w:val="21"/>
              </w:rPr>
              <w:t>简单压力容器也应建立设备安全管理档案。</w:t>
            </w:r>
          </w:p>
          <w:p>
            <w:pPr>
              <w:rPr>
                <w:rFonts w:hint="eastAsia" w:ascii="宋体" w:hAnsi="宋体" w:eastAsia="宋体" w:cs="宋体"/>
                <w:kern w:val="0"/>
                <w:szCs w:val="21"/>
              </w:rPr>
            </w:pPr>
            <w:r>
              <w:rPr>
                <w:rFonts w:hint="eastAsia" w:ascii="宋体" w:hAnsi="宋体" w:eastAsia="宋体" w:cs="宋体"/>
                <w:kern w:val="0"/>
                <w:szCs w:val="21"/>
              </w:rPr>
              <w:t>（282）盛装可燃、爆炸性气体的压力容器，其电气设施应防爆，电器开关和熔断器都应设置在明显位置。室外放置大型气罐应注意防雷。</w:t>
            </w:r>
          </w:p>
        </w:tc>
        <w:tc>
          <w:tcPr>
            <w:tcW w:w="2543" w:type="dxa"/>
            <w:tcMar>
              <w:left w:w="45" w:type="dxa"/>
              <w:right w:w="45" w:type="dxa"/>
            </w:tcMar>
            <w:vAlign w:val="center"/>
          </w:tcPr>
          <w:p>
            <w:pPr>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13.2.4</w:t>
            </w:r>
          </w:p>
        </w:tc>
        <w:tc>
          <w:tcPr>
            <w:tcW w:w="382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压力容器的使用年限及报废</w:t>
            </w:r>
          </w:p>
        </w:tc>
        <w:tc>
          <w:tcPr>
            <w:tcW w:w="7660" w:type="dxa"/>
            <w:tcMar>
              <w:left w:w="45" w:type="dxa"/>
              <w:right w:w="45" w:type="dxa"/>
            </w:tcMar>
            <w:vAlign w:val="center"/>
          </w:tcPr>
          <w:p>
            <w:pPr>
              <w:rPr>
                <w:rFonts w:hint="eastAsia" w:ascii="宋体" w:hAnsi="宋体" w:eastAsia="宋体" w:cs="宋体"/>
                <w:kern w:val="0"/>
                <w:szCs w:val="21"/>
              </w:rPr>
            </w:pPr>
            <w:r>
              <w:rPr>
                <w:rFonts w:hint="eastAsia" w:ascii="宋体" w:hAnsi="宋体" w:eastAsia="宋体" w:cs="宋体"/>
                <w:kern w:val="0"/>
                <w:szCs w:val="21"/>
              </w:rPr>
              <w:t>（283）达到设计使用年限的压力容器应及时报废（未规定设计使用年限，但是使用超过20年的压力容器视为达到使用年限），如若超期使用必须进行检验和安全评估。</w:t>
            </w:r>
          </w:p>
        </w:tc>
        <w:tc>
          <w:tcPr>
            <w:tcW w:w="2543" w:type="dxa"/>
            <w:tcMar>
              <w:left w:w="45" w:type="dxa"/>
              <w:right w:w="45" w:type="dxa"/>
            </w:tcMar>
            <w:vAlign w:val="center"/>
          </w:tcPr>
          <w:p>
            <w:pPr>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13.3</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13.3.1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（284）校园内使用的专用机动车辆须取得《特种设备使用登记证》。</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13.3.2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作业人员取得相应的《特种设备安全管理和作业人员证》，持证上岗</w:t>
            </w:r>
          </w:p>
        </w:tc>
        <w:tc>
          <w:tcPr>
            <w:tcW w:w="7660" w:type="dxa"/>
            <w:tcMar>
              <w:left w:w="45" w:type="dxa"/>
              <w:right w:w="45" w:type="dxa"/>
            </w:tcMar>
            <w:vAlign w:val="center"/>
          </w:tcPr>
          <w:p>
            <w:pPr>
              <w:rPr>
                <w:rFonts w:hint="eastAsia" w:ascii="宋体" w:hAnsi="宋体" w:eastAsia="宋体" w:cs="宋体"/>
                <w:b/>
                <w:bCs/>
                <w:kern w:val="0"/>
                <w:szCs w:val="21"/>
              </w:rPr>
            </w:pPr>
            <w:r>
              <w:rPr>
                <w:rFonts w:hint="eastAsia" w:ascii="宋体" w:hAnsi="宋体" w:eastAsia="宋体" w:cs="宋体"/>
                <w:kern w:val="0"/>
                <w:szCs w:val="21"/>
              </w:rPr>
              <w:t>（285）作业人员取得相应的《特种设备安全管理和作业人员证》</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证书</w:t>
            </w:r>
            <w:r>
              <w:rPr>
                <w:rFonts w:hint="eastAsia" w:ascii="宋体" w:hAnsi="宋体" w:eastAsia="宋体" w:cs="宋体"/>
                <w:kern w:val="0"/>
                <w:szCs w:val="21"/>
              </w:rPr>
              <w:t>在有效期内。</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13.3.3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委托有资质单位进行定期检验</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（286）合格证在有效期内。</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13.4</w:t>
            </w:r>
          </w:p>
        </w:tc>
        <w:tc>
          <w:tcPr>
            <w:tcW w:w="14023" w:type="dxa"/>
            <w:gridSpan w:val="3"/>
            <w:tcMar>
              <w:left w:w="45" w:type="dxa"/>
              <w:right w:w="45" w:type="dxa"/>
            </w:tcMar>
            <w:vAlign w:val="center"/>
          </w:tcPr>
          <w:p>
            <w:pPr>
              <w:widowControl/>
              <w:spacing w:line="300" w:lineRule="exact"/>
              <w:rPr>
                <w:rFonts w:hint="eastAsia" w:ascii="宋体" w:hAnsi="宋体" w:eastAsia="宋体" w:cs="宋体"/>
                <w:b/>
                <w:kern w:val="0"/>
                <w:szCs w:val="21"/>
              </w:rPr>
            </w:pPr>
            <w:r>
              <w:rPr>
                <w:rFonts w:hint="eastAsia" w:ascii="宋体" w:hAnsi="宋体" w:eastAsia="宋体" w:cs="宋体"/>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13.4.1</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贮存危险化学品的冰箱满足防爆要求</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（287）贮存危险化学品的冰箱应为防爆冰箱或经过防爆改造的冰箱，并在冰箱门上注明是否防爆。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13.4.2</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（288）标识至少包括：名称、使用人、日期等，并经常清理。</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（289）实验室冰箱中试剂瓶螺口拧紧，无开口容器，不得放置非实验用食品、药品。超低温冰箱门上有储物分区标识，置于走廊等区域的超低温冰箱须上锁。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13.4.3</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（290）冰箱不超期使用（一般使用期限控制为10年），如超期使用须经审批。</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（291）冰箱周围留出足够空间，周围不堆放杂物，不影响散热。</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（292）烘箱、电阻炉不超期使用（一般使用期限控制为12年），如超期使用须经审批。</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（293）加热设备应放置在通风干燥处，不直接放置在木桌、木板等易燃物品上，周围有一定的散热空间，设备旁不能放置易燃易爆化学品、气瓶、冰箱、杂物等，应远离配电箱、插座、接线板等设备。</w:t>
            </w:r>
          </w:p>
        </w:tc>
        <w:tc>
          <w:tcPr>
            <w:tcW w:w="2543" w:type="dxa"/>
            <w:tcMar>
              <w:left w:w="45" w:type="dxa"/>
              <w:right w:w="45" w:type="dxa"/>
            </w:tcMar>
            <w:vAlign w:val="center"/>
          </w:tcPr>
          <w:p>
            <w:pPr>
              <w:widowControl/>
              <w:spacing w:line="300" w:lineRule="exact"/>
              <w:rPr>
                <w:rFonts w:hint="eastAsia" w:ascii="宋体" w:hAnsi="宋体" w:eastAsia="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13.4.4</w:t>
            </w:r>
          </w:p>
        </w:tc>
        <w:tc>
          <w:tcPr>
            <w:tcW w:w="382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（294）加热设备周边醒目位置张贴有高温警示标识，并有必要的防护措施，张贴有安全操作规程、警示标识。</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（295）烘箱等加热设备内不准烘烤易燃易爆试剂及易燃物品。</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（296）不得使用塑料筐等易燃容器盛放实验物品在烘箱等加热设备内烘烤。</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（297）使用烘箱完毕，清理物品、切断电源，确认其冷却至安全温度后方能离开</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（298）使用电阻炉等明火设备时有人值守。</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（299）使用加热设备时，温度较高的实验须有人值守或有实时监控措施。</w:t>
            </w:r>
          </w:p>
        </w:tc>
        <w:tc>
          <w:tcPr>
            <w:tcW w:w="2543" w:type="dxa"/>
            <w:tcMar>
              <w:left w:w="45" w:type="dxa"/>
              <w:right w:w="45" w:type="dxa"/>
            </w:tcMar>
            <w:vAlign w:val="center"/>
          </w:tcPr>
          <w:p>
            <w:pPr>
              <w:widowControl/>
              <w:spacing w:line="300" w:lineRule="exact"/>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8"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13.4.5</w:t>
            </w:r>
          </w:p>
        </w:tc>
        <w:tc>
          <w:tcPr>
            <w:tcW w:w="3820" w:type="dxa"/>
            <w:tcMar>
              <w:left w:w="45" w:type="dxa"/>
              <w:right w:w="45" w:type="dxa"/>
            </w:tcMar>
            <w:vAlign w:val="center"/>
          </w:tcPr>
          <w:p>
            <w:pPr>
              <w:widowControl/>
              <w:spacing w:line="300" w:lineRule="exact"/>
              <w:rPr>
                <w:rFonts w:hint="eastAsia" w:ascii="宋体" w:hAnsi="宋体" w:eastAsia="宋体" w:cs="宋体"/>
                <w:szCs w:val="21"/>
              </w:rPr>
            </w:pPr>
            <w:r>
              <w:rPr>
                <w:rFonts w:hint="eastAsia" w:ascii="宋体" w:hAnsi="宋体" w:eastAsia="宋体" w:cs="宋体"/>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（300）涉及化学品的实验室不使用明火电炉。如必须使用，须有安全防范措施。</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（301）不使用明火电炉加热易燃易爆试剂。</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（302）明火电炉、电吹风、电热枪等用毕，须及时拔除电源插头。</w:t>
            </w:r>
          </w:p>
          <w:p>
            <w:pPr>
              <w:widowControl/>
              <w:spacing w:line="300" w:lineRule="exact"/>
              <w:rPr>
                <w:rFonts w:hint="eastAsia" w:ascii="宋体" w:hAnsi="宋体" w:eastAsia="宋体" w:cs="宋体"/>
                <w:kern w:val="0"/>
                <w:szCs w:val="21"/>
              </w:rPr>
            </w:pPr>
            <w:r>
              <w:rPr>
                <w:rFonts w:hint="eastAsia" w:ascii="宋体" w:hAnsi="宋体" w:eastAsia="宋体" w:cs="宋体"/>
                <w:kern w:val="0"/>
                <w:szCs w:val="21"/>
              </w:rPr>
              <w:t>（303）不可用纸质、木质等材料自制红外灯烘箱。</w:t>
            </w:r>
          </w:p>
        </w:tc>
        <w:tc>
          <w:tcPr>
            <w:tcW w:w="2543" w:type="dxa"/>
            <w:tcMar>
              <w:left w:w="45" w:type="dxa"/>
              <w:right w:w="45" w:type="dxa"/>
            </w:tcMar>
            <w:vAlign w:val="center"/>
          </w:tcPr>
          <w:p>
            <w:pPr>
              <w:widowControl/>
              <w:spacing w:line="300" w:lineRule="exact"/>
              <w:rPr>
                <w:rFonts w:hint="eastAsia" w:ascii="宋体" w:hAnsi="宋体" w:eastAsia="宋体" w:cs="宋体"/>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964" w:right="1587"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22</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jNDZkOWM4NDUzYTkxYTJlMmE5MzhhMWYwOGE0MzkifQ=="/>
  </w:docVars>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7E9"/>
    <w:rsid w:val="00025D3E"/>
    <w:rsid w:val="00027CE8"/>
    <w:rsid w:val="00032348"/>
    <w:rsid w:val="00032864"/>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7E2"/>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099A"/>
    <w:rsid w:val="0007264E"/>
    <w:rsid w:val="000730A7"/>
    <w:rsid w:val="000733A6"/>
    <w:rsid w:val="000740FE"/>
    <w:rsid w:val="00074118"/>
    <w:rsid w:val="00075121"/>
    <w:rsid w:val="00075372"/>
    <w:rsid w:val="000758AC"/>
    <w:rsid w:val="000774B2"/>
    <w:rsid w:val="00077C5B"/>
    <w:rsid w:val="000841ED"/>
    <w:rsid w:val="00085302"/>
    <w:rsid w:val="00085554"/>
    <w:rsid w:val="00085646"/>
    <w:rsid w:val="00085E6C"/>
    <w:rsid w:val="000862FF"/>
    <w:rsid w:val="00087332"/>
    <w:rsid w:val="0009012A"/>
    <w:rsid w:val="00090D7D"/>
    <w:rsid w:val="000927AE"/>
    <w:rsid w:val="00094034"/>
    <w:rsid w:val="00095097"/>
    <w:rsid w:val="0009613B"/>
    <w:rsid w:val="0009716A"/>
    <w:rsid w:val="00097205"/>
    <w:rsid w:val="000A2040"/>
    <w:rsid w:val="000A29D9"/>
    <w:rsid w:val="000A3CF6"/>
    <w:rsid w:val="000A4456"/>
    <w:rsid w:val="000A4F36"/>
    <w:rsid w:val="000A7A7A"/>
    <w:rsid w:val="000B02CC"/>
    <w:rsid w:val="000B1A65"/>
    <w:rsid w:val="000B1EB0"/>
    <w:rsid w:val="000B2614"/>
    <w:rsid w:val="000B2D2C"/>
    <w:rsid w:val="000B340F"/>
    <w:rsid w:val="000B3CC6"/>
    <w:rsid w:val="000B3E2E"/>
    <w:rsid w:val="000B4F55"/>
    <w:rsid w:val="000B58F2"/>
    <w:rsid w:val="000B60EE"/>
    <w:rsid w:val="000B633A"/>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2B06"/>
    <w:rsid w:val="000E2BD1"/>
    <w:rsid w:val="000E624C"/>
    <w:rsid w:val="000E6B3A"/>
    <w:rsid w:val="000E6E22"/>
    <w:rsid w:val="000F1C49"/>
    <w:rsid w:val="000F2192"/>
    <w:rsid w:val="000F23FC"/>
    <w:rsid w:val="000F26AC"/>
    <w:rsid w:val="000F33FC"/>
    <w:rsid w:val="000F3BF9"/>
    <w:rsid w:val="000F3E6D"/>
    <w:rsid w:val="000F55F2"/>
    <w:rsid w:val="000F5D66"/>
    <w:rsid w:val="000F5DE4"/>
    <w:rsid w:val="000F6802"/>
    <w:rsid w:val="000F71A8"/>
    <w:rsid w:val="001008AD"/>
    <w:rsid w:val="00100E66"/>
    <w:rsid w:val="001013B9"/>
    <w:rsid w:val="0010152B"/>
    <w:rsid w:val="00102F64"/>
    <w:rsid w:val="001035DF"/>
    <w:rsid w:val="001040F3"/>
    <w:rsid w:val="00105938"/>
    <w:rsid w:val="00107176"/>
    <w:rsid w:val="00107337"/>
    <w:rsid w:val="001073B8"/>
    <w:rsid w:val="00107532"/>
    <w:rsid w:val="00107F92"/>
    <w:rsid w:val="001112B5"/>
    <w:rsid w:val="00111859"/>
    <w:rsid w:val="001119FB"/>
    <w:rsid w:val="00111AA5"/>
    <w:rsid w:val="00113C6B"/>
    <w:rsid w:val="00114210"/>
    <w:rsid w:val="00114A79"/>
    <w:rsid w:val="00117113"/>
    <w:rsid w:val="00117E7E"/>
    <w:rsid w:val="00120B03"/>
    <w:rsid w:val="00120D87"/>
    <w:rsid w:val="00120EAE"/>
    <w:rsid w:val="00120EFB"/>
    <w:rsid w:val="00121081"/>
    <w:rsid w:val="001211F9"/>
    <w:rsid w:val="0012236F"/>
    <w:rsid w:val="00122754"/>
    <w:rsid w:val="00122820"/>
    <w:rsid w:val="0012290E"/>
    <w:rsid w:val="0012298A"/>
    <w:rsid w:val="00123622"/>
    <w:rsid w:val="001241E5"/>
    <w:rsid w:val="00124A64"/>
    <w:rsid w:val="00124E9A"/>
    <w:rsid w:val="00125C51"/>
    <w:rsid w:val="00125E2C"/>
    <w:rsid w:val="00125E66"/>
    <w:rsid w:val="00126CE4"/>
    <w:rsid w:val="0012755C"/>
    <w:rsid w:val="00131CE5"/>
    <w:rsid w:val="00132CA5"/>
    <w:rsid w:val="001334D8"/>
    <w:rsid w:val="00135444"/>
    <w:rsid w:val="00135DBD"/>
    <w:rsid w:val="0013645C"/>
    <w:rsid w:val="00136E51"/>
    <w:rsid w:val="001377DF"/>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4FF6"/>
    <w:rsid w:val="00166F15"/>
    <w:rsid w:val="00170665"/>
    <w:rsid w:val="00171905"/>
    <w:rsid w:val="0017248E"/>
    <w:rsid w:val="001737D6"/>
    <w:rsid w:val="0017389B"/>
    <w:rsid w:val="00173F8C"/>
    <w:rsid w:val="001748A0"/>
    <w:rsid w:val="00175BFD"/>
    <w:rsid w:val="00175F72"/>
    <w:rsid w:val="0017785B"/>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9FA"/>
    <w:rsid w:val="001A4DD0"/>
    <w:rsid w:val="001A4EC2"/>
    <w:rsid w:val="001A70CA"/>
    <w:rsid w:val="001A7A73"/>
    <w:rsid w:val="001A7BF6"/>
    <w:rsid w:val="001B00C2"/>
    <w:rsid w:val="001B0B26"/>
    <w:rsid w:val="001B1667"/>
    <w:rsid w:val="001B16DB"/>
    <w:rsid w:val="001B1CF6"/>
    <w:rsid w:val="001B23B2"/>
    <w:rsid w:val="001B2652"/>
    <w:rsid w:val="001B2B5D"/>
    <w:rsid w:val="001B4744"/>
    <w:rsid w:val="001B6C41"/>
    <w:rsid w:val="001B7928"/>
    <w:rsid w:val="001C0804"/>
    <w:rsid w:val="001C0BE4"/>
    <w:rsid w:val="001C1543"/>
    <w:rsid w:val="001C40FD"/>
    <w:rsid w:val="001C631D"/>
    <w:rsid w:val="001C6397"/>
    <w:rsid w:val="001C67CC"/>
    <w:rsid w:val="001C6AB0"/>
    <w:rsid w:val="001C70FA"/>
    <w:rsid w:val="001C75E4"/>
    <w:rsid w:val="001D001C"/>
    <w:rsid w:val="001D0302"/>
    <w:rsid w:val="001D085A"/>
    <w:rsid w:val="001D115C"/>
    <w:rsid w:val="001D1470"/>
    <w:rsid w:val="001D1664"/>
    <w:rsid w:val="001D1670"/>
    <w:rsid w:val="001D1733"/>
    <w:rsid w:val="001D232E"/>
    <w:rsid w:val="001D2C13"/>
    <w:rsid w:val="001D302D"/>
    <w:rsid w:val="001D3868"/>
    <w:rsid w:val="001D46C5"/>
    <w:rsid w:val="001D5AB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6089"/>
    <w:rsid w:val="001F73CE"/>
    <w:rsid w:val="001F752B"/>
    <w:rsid w:val="001F7EA7"/>
    <w:rsid w:val="00200A3D"/>
    <w:rsid w:val="00200C3C"/>
    <w:rsid w:val="00201399"/>
    <w:rsid w:val="0020295B"/>
    <w:rsid w:val="00202F43"/>
    <w:rsid w:val="0020357E"/>
    <w:rsid w:val="00204B76"/>
    <w:rsid w:val="00204BEB"/>
    <w:rsid w:val="002060B3"/>
    <w:rsid w:val="00207FEC"/>
    <w:rsid w:val="00210B50"/>
    <w:rsid w:val="00211A37"/>
    <w:rsid w:val="00212E79"/>
    <w:rsid w:val="002141F2"/>
    <w:rsid w:val="002146ED"/>
    <w:rsid w:val="00214CA3"/>
    <w:rsid w:val="00216729"/>
    <w:rsid w:val="00217B60"/>
    <w:rsid w:val="00222AE3"/>
    <w:rsid w:val="002249E7"/>
    <w:rsid w:val="00224CAF"/>
    <w:rsid w:val="002251BC"/>
    <w:rsid w:val="00225846"/>
    <w:rsid w:val="00225B7D"/>
    <w:rsid w:val="00225F53"/>
    <w:rsid w:val="00226F9D"/>
    <w:rsid w:val="002275B0"/>
    <w:rsid w:val="00227809"/>
    <w:rsid w:val="00227E37"/>
    <w:rsid w:val="00230750"/>
    <w:rsid w:val="00231CB9"/>
    <w:rsid w:val="00232026"/>
    <w:rsid w:val="0023309C"/>
    <w:rsid w:val="002336B8"/>
    <w:rsid w:val="00236EE4"/>
    <w:rsid w:val="0023790C"/>
    <w:rsid w:val="00237BBB"/>
    <w:rsid w:val="00237EBE"/>
    <w:rsid w:val="002401F5"/>
    <w:rsid w:val="00241712"/>
    <w:rsid w:val="00241A97"/>
    <w:rsid w:val="00242483"/>
    <w:rsid w:val="00242B32"/>
    <w:rsid w:val="00244389"/>
    <w:rsid w:val="00245D34"/>
    <w:rsid w:val="00246398"/>
    <w:rsid w:val="00250BDC"/>
    <w:rsid w:val="00251B41"/>
    <w:rsid w:val="002542FD"/>
    <w:rsid w:val="002543F0"/>
    <w:rsid w:val="00254981"/>
    <w:rsid w:val="00255794"/>
    <w:rsid w:val="00255C8C"/>
    <w:rsid w:val="00255D52"/>
    <w:rsid w:val="00260336"/>
    <w:rsid w:val="00260852"/>
    <w:rsid w:val="00261941"/>
    <w:rsid w:val="00262577"/>
    <w:rsid w:val="00263347"/>
    <w:rsid w:val="0026365C"/>
    <w:rsid w:val="002655DC"/>
    <w:rsid w:val="00266A2B"/>
    <w:rsid w:val="00267503"/>
    <w:rsid w:val="0027038D"/>
    <w:rsid w:val="002709C1"/>
    <w:rsid w:val="002717FD"/>
    <w:rsid w:val="002719EB"/>
    <w:rsid w:val="00271D7A"/>
    <w:rsid w:val="002722D6"/>
    <w:rsid w:val="00275E3C"/>
    <w:rsid w:val="00275E7D"/>
    <w:rsid w:val="00275F18"/>
    <w:rsid w:val="00276BD3"/>
    <w:rsid w:val="00276E06"/>
    <w:rsid w:val="00277FBA"/>
    <w:rsid w:val="00281C08"/>
    <w:rsid w:val="0028289C"/>
    <w:rsid w:val="00282D6E"/>
    <w:rsid w:val="002831E9"/>
    <w:rsid w:val="00283339"/>
    <w:rsid w:val="0028397F"/>
    <w:rsid w:val="0028528B"/>
    <w:rsid w:val="00285831"/>
    <w:rsid w:val="002876BC"/>
    <w:rsid w:val="00290798"/>
    <w:rsid w:val="002914AD"/>
    <w:rsid w:val="00291F5A"/>
    <w:rsid w:val="00294CFE"/>
    <w:rsid w:val="00294FEE"/>
    <w:rsid w:val="00296302"/>
    <w:rsid w:val="00296791"/>
    <w:rsid w:val="00297386"/>
    <w:rsid w:val="002A0679"/>
    <w:rsid w:val="002A1F9C"/>
    <w:rsid w:val="002A201B"/>
    <w:rsid w:val="002A2A2E"/>
    <w:rsid w:val="002A35AC"/>
    <w:rsid w:val="002A68D5"/>
    <w:rsid w:val="002A6CBD"/>
    <w:rsid w:val="002A79BC"/>
    <w:rsid w:val="002B15B1"/>
    <w:rsid w:val="002B1B18"/>
    <w:rsid w:val="002B2B11"/>
    <w:rsid w:val="002B3ACD"/>
    <w:rsid w:val="002B5ED3"/>
    <w:rsid w:val="002B5FD1"/>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1EB8"/>
    <w:rsid w:val="002E2D3E"/>
    <w:rsid w:val="002E3485"/>
    <w:rsid w:val="002E3E8F"/>
    <w:rsid w:val="002E4C01"/>
    <w:rsid w:val="002E55BE"/>
    <w:rsid w:val="002F09FF"/>
    <w:rsid w:val="002F1086"/>
    <w:rsid w:val="002F214B"/>
    <w:rsid w:val="002F2441"/>
    <w:rsid w:val="002F2870"/>
    <w:rsid w:val="002F332F"/>
    <w:rsid w:val="002F33BB"/>
    <w:rsid w:val="002F422D"/>
    <w:rsid w:val="002F4283"/>
    <w:rsid w:val="002F46C6"/>
    <w:rsid w:val="002F4859"/>
    <w:rsid w:val="002F60AB"/>
    <w:rsid w:val="002F60F0"/>
    <w:rsid w:val="002F63D6"/>
    <w:rsid w:val="002F6EA9"/>
    <w:rsid w:val="002F7375"/>
    <w:rsid w:val="003012E3"/>
    <w:rsid w:val="00302310"/>
    <w:rsid w:val="003044AB"/>
    <w:rsid w:val="00310ABE"/>
    <w:rsid w:val="00312077"/>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359BA"/>
    <w:rsid w:val="0034157D"/>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3730"/>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76B"/>
    <w:rsid w:val="00377F67"/>
    <w:rsid w:val="00380A30"/>
    <w:rsid w:val="00381C42"/>
    <w:rsid w:val="00381E9D"/>
    <w:rsid w:val="00382021"/>
    <w:rsid w:val="003843B1"/>
    <w:rsid w:val="00384A4D"/>
    <w:rsid w:val="00384F21"/>
    <w:rsid w:val="00387213"/>
    <w:rsid w:val="00387D20"/>
    <w:rsid w:val="0039076A"/>
    <w:rsid w:val="003910BA"/>
    <w:rsid w:val="00391CDC"/>
    <w:rsid w:val="00391EDF"/>
    <w:rsid w:val="003928D6"/>
    <w:rsid w:val="0039330B"/>
    <w:rsid w:val="00394BF6"/>
    <w:rsid w:val="003968EA"/>
    <w:rsid w:val="003979AA"/>
    <w:rsid w:val="003A07B3"/>
    <w:rsid w:val="003A0816"/>
    <w:rsid w:val="003A108E"/>
    <w:rsid w:val="003A16FA"/>
    <w:rsid w:val="003A1BC1"/>
    <w:rsid w:val="003A30A2"/>
    <w:rsid w:val="003A363C"/>
    <w:rsid w:val="003A4EDD"/>
    <w:rsid w:val="003A514A"/>
    <w:rsid w:val="003A6E6B"/>
    <w:rsid w:val="003A7581"/>
    <w:rsid w:val="003A7A18"/>
    <w:rsid w:val="003A7E61"/>
    <w:rsid w:val="003B1481"/>
    <w:rsid w:val="003B319C"/>
    <w:rsid w:val="003B63D3"/>
    <w:rsid w:val="003B6FBC"/>
    <w:rsid w:val="003B7D8E"/>
    <w:rsid w:val="003C039B"/>
    <w:rsid w:val="003C056F"/>
    <w:rsid w:val="003C1E2E"/>
    <w:rsid w:val="003C22F8"/>
    <w:rsid w:val="003C2A42"/>
    <w:rsid w:val="003C44F0"/>
    <w:rsid w:val="003C6ABB"/>
    <w:rsid w:val="003C7F9A"/>
    <w:rsid w:val="003D0D4F"/>
    <w:rsid w:val="003D0E76"/>
    <w:rsid w:val="003D1223"/>
    <w:rsid w:val="003D175F"/>
    <w:rsid w:val="003D3C99"/>
    <w:rsid w:val="003D43C4"/>
    <w:rsid w:val="003D509D"/>
    <w:rsid w:val="003D5573"/>
    <w:rsid w:val="003D6177"/>
    <w:rsid w:val="003E49C0"/>
    <w:rsid w:val="003E5997"/>
    <w:rsid w:val="003E6F3F"/>
    <w:rsid w:val="003E712C"/>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AE0"/>
    <w:rsid w:val="00407B11"/>
    <w:rsid w:val="00407B45"/>
    <w:rsid w:val="00410409"/>
    <w:rsid w:val="00410D5F"/>
    <w:rsid w:val="00410DAB"/>
    <w:rsid w:val="00411B39"/>
    <w:rsid w:val="00411FB9"/>
    <w:rsid w:val="004130BD"/>
    <w:rsid w:val="00414256"/>
    <w:rsid w:val="00414333"/>
    <w:rsid w:val="00414E69"/>
    <w:rsid w:val="004153D4"/>
    <w:rsid w:val="00415984"/>
    <w:rsid w:val="004203B0"/>
    <w:rsid w:val="00420F30"/>
    <w:rsid w:val="004213E8"/>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670"/>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273"/>
    <w:rsid w:val="00466B8C"/>
    <w:rsid w:val="00466C97"/>
    <w:rsid w:val="00466EA6"/>
    <w:rsid w:val="00472034"/>
    <w:rsid w:val="00472D42"/>
    <w:rsid w:val="00472DCD"/>
    <w:rsid w:val="004735DF"/>
    <w:rsid w:val="0047428E"/>
    <w:rsid w:val="0047457E"/>
    <w:rsid w:val="004753DB"/>
    <w:rsid w:val="00475423"/>
    <w:rsid w:val="00477A12"/>
    <w:rsid w:val="004805DC"/>
    <w:rsid w:val="00481550"/>
    <w:rsid w:val="00482197"/>
    <w:rsid w:val="004826F7"/>
    <w:rsid w:val="00482F12"/>
    <w:rsid w:val="00486088"/>
    <w:rsid w:val="00486E81"/>
    <w:rsid w:val="00486EF1"/>
    <w:rsid w:val="00487029"/>
    <w:rsid w:val="004904F3"/>
    <w:rsid w:val="004927BE"/>
    <w:rsid w:val="00492BE0"/>
    <w:rsid w:val="00492BE2"/>
    <w:rsid w:val="00494721"/>
    <w:rsid w:val="00494FEE"/>
    <w:rsid w:val="0049526A"/>
    <w:rsid w:val="00495560"/>
    <w:rsid w:val="0049606C"/>
    <w:rsid w:val="00496A2B"/>
    <w:rsid w:val="0049748F"/>
    <w:rsid w:val="00497983"/>
    <w:rsid w:val="004A0637"/>
    <w:rsid w:val="004A064E"/>
    <w:rsid w:val="004A088C"/>
    <w:rsid w:val="004A1A45"/>
    <w:rsid w:val="004A1AE7"/>
    <w:rsid w:val="004A2698"/>
    <w:rsid w:val="004A2A3B"/>
    <w:rsid w:val="004A3692"/>
    <w:rsid w:val="004A60DD"/>
    <w:rsid w:val="004B0C53"/>
    <w:rsid w:val="004B0CEC"/>
    <w:rsid w:val="004B17E1"/>
    <w:rsid w:val="004B1AB7"/>
    <w:rsid w:val="004B205C"/>
    <w:rsid w:val="004B20C9"/>
    <w:rsid w:val="004B2DB2"/>
    <w:rsid w:val="004B5E2E"/>
    <w:rsid w:val="004B6578"/>
    <w:rsid w:val="004C0020"/>
    <w:rsid w:val="004C103F"/>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34BD"/>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4E79"/>
    <w:rsid w:val="004F54DE"/>
    <w:rsid w:val="004F5542"/>
    <w:rsid w:val="004F6182"/>
    <w:rsid w:val="004F62B5"/>
    <w:rsid w:val="004F64EF"/>
    <w:rsid w:val="004F6C52"/>
    <w:rsid w:val="004F79C9"/>
    <w:rsid w:val="005013CA"/>
    <w:rsid w:val="00502B0B"/>
    <w:rsid w:val="0050309E"/>
    <w:rsid w:val="00504084"/>
    <w:rsid w:val="00505314"/>
    <w:rsid w:val="00505451"/>
    <w:rsid w:val="005058D1"/>
    <w:rsid w:val="00505E5B"/>
    <w:rsid w:val="00506244"/>
    <w:rsid w:val="005068A0"/>
    <w:rsid w:val="0050798A"/>
    <w:rsid w:val="005079EC"/>
    <w:rsid w:val="00507C82"/>
    <w:rsid w:val="00510BCA"/>
    <w:rsid w:val="00511DC0"/>
    <w:rsid w:val="00512B1A"/>
    <w:rsid w:val="00514C53"/>
    <w:rsid w:val="00515978"/>
    <w:rsid w:val="00516278"/>
    <w:rsid w:val="0051632E"/>
    <w:rsid w:val="00516799"/>
    <w:rsid w:val="00517D52"/>
    <w:rsid w:val="00520D98"/>
    <w:rsid w:val="005223D7"/>
    <w:rsid w:val="0052251B"/>
    <w:rsid w:val="00522E5D"/>
    <w:rsid w:val="00522EFA"/>
    <w:rsid w:val="00523013"/>
    <w:rsid w:val="00524079"/>
    <w:rsid w:val="00524EBC"/>
    <w:rsid w:val="0052541B"/>
    <w:rsid w:val="00525796"/>
    <w:rsid w:val="005263F0"/>
    <w:rsid w:val="00526750"/>
    <w:rsid w:val="00526FCD"/>
    <w:rsid w:val="00527204"/>
    <w:rsid w:val="00527527"/>
    <w:rsid w:val="005275C5"/>
    <w:rsid w:val="0052796F"/>
    <w:rsid w:val="00530C47"/>
    <w:rsid w:val="00530FBE"/>
    <w:rsid w:val="00531CAB"/>
    <w:rsid w:val="00533876"/>
    <w:rsid w:val="00534EB8"/>
    <w:rsid w:val="00535E7A"/>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2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2D9"/>
    <w:rsid w:val="0059153C"/>
    <w:rsid w:val="005915F3"/>
    <w:rsid w:val="0059221F"/>
    <w:rsid w:val="00592A21"/>
    <w:rsid w:val="00595D10"/>
    <w:rsid w:val="00595EC8"/>
    <w:rsid w:val="00596975"/>
    <w:rsid w:val="00596BD1"/>
    <w:rsid w:val="0059799E"/>
    <w:rsid w:val="00597C01"/>
    <w:rsid w:val="005A0E14"/>
    <w:rsid w:val="005A0F66"/>
    <w:rsid w:val="005A1751"/>
    <w:rsid w:val="005A1B98"/>
    <w:rsid w:val="005A1DA3"/>
    <w:rsid w:val="005A2264"/>
    <w:rsid w:val="005A2649"/>
    <w:rsid w:val="005A29E8"/>
    <w:rsid w:val="005A3692"/>
    <w:rsid w:val="005A50C3"/>
    <w:rsid w:val="005A5863"/>
    <w:rsid w:val="005A5FE9"/>
    <w:rsid w:val="005A6550"/>
    <w:rsid w:val="005A6D62"/>
    <w:rsid w:val="005A783C"/>
    <w:rsid w:val="005A78E8"/>
    <w:rsid w:val="005B00CF"/>
    <w:rsid w:val="005B18DE"/>
    <w:rsid w:val="005B1CCD"/>
    <w:rsid w:val="005B3657"/>
    <w:rsid w:val="005B4A77"/>
    <w:rsid w:val="005B4DD4"/>
    <w:rsid w:val="005B4F7D"/>
    <w:rsid w:val="005B6D7D"/>
    <w:rsid w:val="005C069D"/>
    <w:rsid w:val="005C084E"/>
    <w:rsid w:val="005C1A32"/>
    <w:rsid w:val="005C1C28"/>
    <w:rsid w:val="005C262D"/>
    <w:rsid w:val="005C263D"/>
    <w:rsid w:val="005C3945"/>
    <w:rsid w:val="005C4C32"/>
    <w:rsid w:val="005C505C"/>
    <w:rsid w:val="005C79FC"/>
    <w:rsid w:val="005D0F32"/>
    <w:rsid w:val="005D1D68"/>
    <w:rsid w:val="005D3A48"/>
    <w:rsid w:val="005D3E53"/>
    <w:rsid w:val="005D47BC"/>
    <w:rsid w:val="005D5CE8"/>
    <w:rsid w:val="005D60F7"/>
    <w:rsid w:val="005D70A6"/>
    <w:rsid w:val="005D73F4"/>
    <w:rsid w:val="005E25E1"/>
    <w:rsid w:val="005E4161"/>
    <w:rsid w:val="005E52F7"/>
    <w:rsid w:val="005E6842"/>
    <w:rsid w:val="005E68EB"/>
    <w:rsid w:val="005F0CA5"/>
    <w:rsid w:val="005F14A8"/>
    <w:rsid w:val="005F1A8A"/>
    <w:rsid w:val="005F23A3"/>
    <w:rsid w:val="005F23FF"/>
    <w:rsid w:val="005F2AC5"/>
    <w:rsid w:val="005F315A"/>
    <w:rsid w:val="005F47A8"/>
    <w:rsid w:val="005F5127"/>
    <w:rsid w:val="005F5A03"/>
    <w:rsid w:val="005F75F4"/>
    <w:rsid w:val="00600492"/>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411B"/>
    <w:rsid w:val="00635A23"/>
    <w:rsid w:val="0063630F"/>
    <w:rsid w:val="00636965"/>
    <w:rsid w:val="006372C4"/>
    <w:rsid w:val="00641755"/>
    <w:rsid w:val="006429C6"/>
    <w:rsid w:val="00642AC8"/>
    <w:rsid w:val="006438F2"/>
    <w:rsid w:val="00644B8E"/>
    <w:rsid w:val="00645210"/>
    <w:rsid w:val="00645E46"/>
    <w:rsid w:val="0064622E"/>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0AEB"/>
    <w:rsid w:val="00671D93"/>
    <w:rsid w:val="00672A02"/>
    <w:rsid w:val="00672FE1"/>
    <w:rsid w:val="006800A8"/>
    <w:rsid w:val="006802B5"/>
    <w:rsid w:val="00681E18"/>
    <w:rsid w:val="00681F52"/>
    <w:rsid w:val="006835AA"/>
    <w:rsid w:val="00683AC0"/>
    <w:rsid w:val="00685ED1"/>
    <w:rsid w:val="00685F7E"/>
    <w:rsid w:val="00686732"/>
    <w:rsid w:val="006867F6"/>
    <w:rsid w:val="00686CD1"/>
    <w:rsid w:val="00691D4D"/>
    <w:rsid w:val="00692009"/>
    <w:rsid w:val="006924EB"/>
    <w:rsid w:val="00694CD2"/>
    <w:rsid w:val="006956BA"/>
    <w:rsid w:val="006957F9"/>
    <w:rsid w:val="006962B0"/>
    <w:rsid w:val="00697175"/>
    <w:rsid w:val="00697F20"/>
    <w:rsid w:val="006A16E4"/>
    <w:rsid w:val="006A3490"/>
    <w:rsid w:val="006A3E6D"/>
    <w:rsid w:val="006A48F3"/>
    <w:rsid w:val="006A6068"/>
    <w:rsid w:val="006A744F"/>
    <w:rsid w:val="006B0647"/>
    <w:rsid w:val="006B0658"/>
    <w:rsid w:val="006B0B99"/>
    <w:rsid w:val="006B1530"/>
    <w:rsid w:val="006B1BC5"/>
    <w:rsid w:val="006B1EDA"/>
    <w:rsid w:val="006B29D4"/>
    <w:rsid w:val="006B2DB3"/>
    <w:rsid w:val="006B305E"/>
    <w:rsid w:val="006B30B4"/>
    <w:rsid w:val="006B31CA"/>
    <w:rsid w:val="006B3950"/>
    <w:rsid w:val="006B4E85"/>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42A4"/>
    <w:rsid w:val="006E59D5"/>
    <w:rsid w:val="006E5BB6"/>
    <w:rsid w:val="006E631D"/>
    <w:rsid w:val="006E6FD6"/>
    <w:rsid w:val="006E7C67"/>
    <w:rsid w:val="006F0252"/>
    <w:rsid w:val="006F13CB"/>
    <w:rsid w:val="006F1BDC"/>
    <w:rsid w:val="006F2397"/>
    <w:rsid w:val="006F4FC4"/>
    <w:rsid w:val="006F52F0"/>
    <w:rsid w:val="006F5B8D"/>
    <w:rsid w:val="006F5C4A"/>
    <w:rsid w:val="006F7B85"/>
    <w:rsid w:val="006F7BC4"/>
    <w:rsid w:val="00700875"/>
    <w:rsid w:val="00700D74"/>
    <w:rsid w:val="007018D4"/>
    <w:rsid w:val="00701DA0"/>
    <w:rsid w:val="007038EF"/>
    <w:rsid w:val="00704A84"/>
    <w:rsid w:val="007051BF"/>
    <w:rsid w:val="0070533C"/>
    <w:rsid w:val="00705A27"/>
    <w:rsid w:val="007064EA"/>
    <w:rsid w:val="0070749A"/>
    <w:rsid w:val="00707993"/>
    <w:rsid w:val="00711986"/>
    <w:rsid w:val="00713633"/>
    <w:rsid w:val="00716AF6"/>
    <w:rsid w:val="00716C06"/>
    <w:rsid w:val="00716D26"/>
    <w:rsid w:val="00716D56"/>
    <w:rsid w:val="00716FAC"/>
    <w:rsid w:val="00717380"/>
    <w:rsid w:val="00721008"/>
    <w:rsid w:val="00721C8D"/>
    <w:rsid w:val="007221F7"/>
    <w:rsid w:val="007224F5"/>
    <w:rsid w:val="00722EA2"/>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2645"/>
    <w:rsid w:val="007751D6"/>
    <w:rsid w:val="00775869"/>
    <w:rsid w:val="00776169"/>
    <w:rsid w:val="00776747"/>
    <w:rsid w:val="00776D81"/>
    <w:rsid w:val="00776EB4"/>
    <w:rsid w:val="00777481"/>
    <w:rsid w:val="00780029"/>
    <w:rsid w:val="007815F9"/>
    <w:rsid w:val="00783EC3"/>
    <w:rsid w:val="00784E46"/>
    <w:rsid w:val="00786A87"/>
    <w:rsid w:val="00786ABB"/>
    <w:rsid w:val="00790ADA"/>
    <w:rsid w:val="00790BEB"/>
    <w:rsid w:val="00791374"/>
    <w:rsid w:val="007921CB"/>
    <w:rsid w:val="00792C42"/>
    <w:rsid w:val="007940CB"/>
    <w:rsid w:val="00795CF3"/>
    <w:rsid w:val="0079746F"/>
    <w:rsid w:val="007978F4"/>
    <w:rsid w:val="007A0975"/>
    <w:rsid w:val="007A231D"/>
    <w:rsid w:val="007A25CB"/>
    <w:rsid w:val="007A271A"/>
    <w:rsid w:val="007A2EB6"/>
    <w:rsid w:val="007A30AC"/>
    <w:rsid w:val="007A3529"/>
    <w:rsid w:val="007A3799"/>
    <w:rsid w:val="007A3E5C"/>
    <w:rsid w:val="007A43A7"/>
    <w:rsid w:val="007A46AE"/>
    <w:rsid w:val="007A495A"/>
    <w:rsid w:val="007A4EEA"/>
    <w:rsid w:val="007A54C1"/>
    <w:rsid w:val="007A557A"/>
    <w:rsid w:val="007A64C0"/>
    <w:rsid w:val="007A7031"/>
    <w:rsid w:val="007B0DAC"/>
    <w:rsid w:val="007B17F8"/>
    <w:rsid w:val="007B28BD"/>
    <w:rsid w:val="007B3897"/>
    <w:rsid w:val="007B5E23"/>
    <w:rsid w:val="007C007E"/>
    <w:rsid w:val="007C0262"/>
    <w:rsid w:val="007C0E59"/>
    <w:rsid w:val="007C16C9"/>
    <w:rsid w:val="007C259E"/>
    <w:rsid w:val="007C33F4"/>
    <w:rsid w:val="007C47AC"/>
    <w:rsid w:val="007C49DB"/>
    <w:rsid w:val="007C539D"/>
    <w:rsid w:val="007C5A7D"/>
    <w:rsid w:val="007C68DA"/>
    <w:rsid w:val="007D120E"/>
    <w:rsid w:val="007D141A"/>
    <w:rsid w:val="007D283A"/>
    <w:rsid w:val="007D33EE"/>
    <w:rsid w:val="007D3994"/>
    <w:rsid w:val="007D3AD7"/>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A8"/>
    <w:rsid w:val="008206EF"/>
    <w:rsid w:val="00820EDD"/>
    <w:rsid w:val="00821093"/>
    <w:rsid w:val="008217BE"/>
    <w:rsid w:val="00821975"/>
    <w:rsid w:val="00822CA0"/>
    <w:rsid w:val="0082384F"/>
    <w:rsid w:val="008238DF"/>
    <w:rsid w:val="00825511"/>
    <w:rsid w:val="0082560B"/>
    <w:rsid w:val="00830875"/>
    <w:rsid w:val="00831A81"/>
    <w:rsid w:val="00832856"/>
    <w:rsid w:val="00833F0D"/>
    <w:rsid w:val="00837B2A"/>
    <w:rsid w:val="00837F34"/>
    <w:rsid w:val="00840781"/>
    <w:rsid w:val="00840D64"/>
    <w:rsid w:val="008434B7"/>
    <w:rsid w:val="00843DC0"/>
    <w:rsid w:val="00843E6F"/>
    <w:rsid w:val="008449EC"/>
    <w:rsid w:val="00844FFD"/>
    <w:rsid w:val="00845B4A"/>
    <w:rsid w:val="00846B8E"/>
    <w:rsid w:val="008510DC"/>
    <w:rsid w:val="00851295"/>
    <w:rsid w:val="008513B3"/>
    <w:rsid w:val="00851460"/>
    <w:rsid w:val="008518C5"/>
    <w:rsid w:val="00851A69"/>
    <w:rsid w:val="008523D7"/>
    <w:rsid w:val="00853C6F"/>
    <w:rsid w:val="00853D82"/>
    <w:rsid w:val="0085488C"/>
    <w:rsid w:val="0085519F"/>
    <w:rsid w:val="00855B88"/>
    <w:rsid w:val="0085628F"/>
    <w:rsid w:val="00856563"/>
    <w:rsid w:val="008567F5"/>
    <w:rsid w:val="00857026"/>
    <w:rsid w:val="00857E1C"/>
    <w:rsid w:val="00857FAD"/>
    <w:rsid w:val="00861334"/>
    <w:rsid w:val="00863061"/>
    <w:rsid w:val="008634C6"/>
    <w:rsid w:val="00863A9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808"/>
    <w:rsid w:val="008859D3"/>
    <w:rsid w:val="00885FB0"/>
    <w:rsid w:val="00887525"/>
    <w:rsid w:val="00892950"/>
    <w:rsid w:val="00892ABD"/>
    <w:rsid w:val="00895576"/>
    <w:rsid w:val="008960D5"/>
    <w:rsid w:val="00896C2F"/>
    <w:rsid w:val="00897136"/>
    <w:rsid w:val="008A1518"/>
    <w:rsid w:val="008A1E19"/>
    <w:rsid w:val="008A2C89"/>
    <w:rsid w:val="008A2E60"/>
    <w:rsid w:val="008A3CB2"/>
    <w:rsid w:val="008A42F4"/>
    <w:rsid w:val="008A4D1E"/>
    <w:rsid w:val="008A6A75"/>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5F38"/>
    <w:rsid w:val="008C678C"/>
    <w:rsid w:val="008D0798"/>
    <w:rsid w:val="008D0A11"/>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8F3084"/>
    <w:rsid w:val="00900E4A"/>
    <w:rsid w:val="00901B0D"/>
    <w:rsid w:val="00901B4D"/>
    <w:rsid w:val="00903A20"/>
    <w:rsid w:val="009046E4"/>
    <w:rsid w:val="0090528B"/>
    <w:rsid w:val="009059DB"/>
    <w:rsid w:val="00906062"/>
    <w:rsid w:val="00906155"/>
    <w:rsid w:val="009068F8"/>
    <w:rsid w:val="00910849"/>
    <w:rsid w:val="00910D01"/>
    <w:rsid w:val="00914309"/>
    <w:rsid w:val="009143ED"/>
    <w:rsid w:val="00914DBE"/>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5784"/>
    <w:rsid w:val="00926495"/>
    <w:rsid w:val="00926A52"/>
    <w:rsid w:val="00926C49"/>
    <w:rsid w:val="0092799F"/>
    <w:rsid w:val="009305D4"/>
    <w:rsid w:val="00930765"/>
    <w:rsid w:val="00934117"/>
    <w:rsid w:val="00934D25"/>
    <w:rsid w:val="00935611"/>
    <w:rsid w:val="009375EB"/>
    <w:rsid w:val="009407EA"/>
    <w:rsid w:val="009410EE"/>
    <w:rsid w:val="00941213"/>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4E92"/>
    <w:rsid w:val="0095747C"/>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5503"/>
    <w:rsid w:val="00986D1E"/>
    <w:rsid w:val="009875AC"/>
    <w:rsid w:val="009876A0"/>
    <w:rsid w:val="00987742"/>
    <w:rsid w:val="009904B4"/>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577D"/>
    <w:rsid w:val="009B609E"/>
    <w:rsid w:val="009B6DEE"/>
    <w:rsid w:val="009B7A5B"/>
    <w:rsid w:val="009C1250"/>
    <w:rsid w:val="009C12C5"/>
    <w:rsid w:val="009C2129"/>
    <w:rsid w:val="009C2943"/>
    <w:rsid w:val="009C55BA"/>
    <w:rsid w:val="009C67AE"/>
    <w:rsid w:val="009C6E30"/>
    <w:rsid w:val="009C6FA1"/>
    <w:rsid w:val="009C7D2B"/>
    <w:rsid w:val="009D0F63"/>
    <w:rsid w:val="009D132E"/>
    <w:rsid w:val="009D1583"/>
    <w:rsid w:val="009D1801"/>
    <w:rsid w:val="009D5373"/>
    <w:rsid w:val="009D54C7"/>
    <w:rsid w:val="009D5CDC"/>
    <w:rsid w:val="009D63EA"/>
    <w:rsid w:val="009D659F"/>
    <w:rsid w:val="009E0418"/>
    <w:rsid w:val="009E0790"/>
    <w:rsid w:val="009E4685"/>
    <w:rsid w:val="009E4990"/>
    <w:rsid w:val="009E65AE"/>
    <w:rsid w:val="009F02ED"/>
    <w:rsid w:val="009F0913"/>
    <w:rsid w:val="009F1078"/>
    <w:rsid w:val="009F12E3"/>
    <w:rsid w:val="009F1AA7"/>
    <w:rsid w:val="009F2273"/>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173B5"/>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1C73"/>
    <w:rsid w:val="00A432BA"/>
    <w:rsid w:val="00A433B8"/>
    <w:rsid w:val="00A43E2A"/>
    <w:rsid w:val="00A4567C"/>
    <w:rsid w:val="00A50D26"/>
    <w:rsid w:val="00A512A0"/>
    <w:rsid w:val="00A517D0"/>
    <w:rsid w:val="00A51F10"/>
    <w:rsid w:val="00A533EF"/>
    <w:rsid w:val="00A543E9"/>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241"/>
    <w:rsid w:val="00A726BE"/>
    <w:rsid w:val="00A7297A"/>
    <w:rsid w:val="00A72EC3"/>
    <w:rsid w:val="00A738D3"/>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6B69"/>
    <w:rsid w:val="00AA78EB"/>
    <w:rsid w:val="00AB2496"/>
    <w:rsid w:val="00AB2870"/>
    <w:rsid w:val="00AB355A"/>
    <w:rsid w:val="00AB36B6"/>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627"/>
    <w:rsid w:val="00AE6CFD"/>
    <w:rsid w:val="00AE75D2"/>
    <w:rsid w:val="00AE76CF"/>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4ABC"/>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505B"/>
    <w:rsid w:val="00B45ECE"/>
    <w:rsid w:val="00B45F3F"/>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4D3"/>
    <w:rsid w:val="00B60C91"/>
    <w:rsid w:val="00B613C4"/>
    <w:rsid w:val="00B62983"/>
    <w:rsid w:val="00B62BAD"/>
    <w:rsid w:val="00B643F3"/>
    <w:rsid w:val="00B678B1"/>
    <w:rsid w:val="00B678D1"/>
    <w:rsid w:val="00B67AED"/>
    <w:rsid w:val="00B67C2D"/>
    <w:rsid w:val="00B70890"/>
    <w:rsid w:val="00B714D5"/>
    <w:rsid w:val="00B71F47"/>
    <w:rsid w:val="00B72164"/>
    <w:rsid w:val="00B72773"/>
    <w:rsid w:val="00B74C61"/>
    <w:rsid w:val="00B75122"/>
    <w:rsid w:val="00B754C0"/>
    <w:rsid w:val="00B75689"/>
    <w:rsid w:val="00B759A8"/>
    <w:rsid w:val="00B763AA"/>
    <w:rsid w:val="00B77D57"/>
    <w:rsid w:val="00B77DE8"/>
    <w:rsid w:val="00B77F7A"/>
    <w:rsid w:val="00B80396"/>
    <w:rsid w:val="00B80806"/>
    <w:rsid w:val="00B81359"/>
    <w:rsid w:val="00B8389E"/>
    <w:rsid w:val="00B841A9"/>
    <w:rsid w:val="00B86405"/>
    <w:rsid w:val="00B86A2C"/>
    <w:rsid w:val="00B9087C"/>
    <w:rsid w:val="00B90A29"/>
    <w:rsid w:val="00B9230D"/>
    <w:rsid w:val="00B93CEB"/>
    <w:rsid w:val="00B945B1"/>
    <w:rsid w:val="00B950E7"/>
    <w:rsid w:val="00B95B92"/>
    <w:rsid w:val="00B95BAD"/>
    <w:rsid w:val="00B95E27"/>
    <w:rsid w:val="00B975E1"/>
    <w:rsid w:val="00BA0E42"/>
    <w:rsid w:val="00BA0F9B"/>
    <w:rsid w:val="00BA100B"/>
    <w:rsid w:val="00BA13E6"/>
    <w:rsid w:val="00BA1AB1"/>
    <w:rsid w:val="00BA1C97"/>
    <w:rsid w:val="00BA3F40"/>
    <w:rsid w:val="00BA4890"/>
    <w:rsid w:val="00BA5E01"/>
    <w:rsid w:val="00BA5E5A"/>
    <w:rsid w:val="00BA6A35"/>
    <w:rsid w:val="00BB029B"/>
    <w:rsid w:val="00BB0A5B"/>
    <w:rsid w:val="00BB1AD2"/>
    <w:rsid w:val="00BB25B6"/>
    <w:rsid w:val="00BB5596"/>
    <w:rsid w:val="00BB5778"/>
    <w:rsid w:val="00BB580B"/>
    <w:rsid w:val="00BB762D"/>
    <w:rsid w:val="00BB7AAE"/>
    <w:rsid w:val="00BC26DE"/>
    <w:rsid w:val="00BC434D"/>
    <w:rsid w:val="00BC5C12"/>
    <w:rsid w:val="00BC69E7"/>
    <w:rsid w:val="00BC757A"/>
    <w:rsid w:val="00BC7682"/>
    <w:rsid w:val="00BC7D60"/>
    <w:rsid w:val="00BC7FFC"/>
    <w:rsid w:val="00BD0D2F"/>
    <w:rsid w:val="00BD1BF8"/>
    <w:rsid w:val="00BD2E2A"/>
    <w:rsid w:val="00BD32F4"/>
    <w:rsid w:val="00BD7E33"/>
    <w:rsid w:val="00BE0F0B"/>
    <w:rsid w:val="00BE239D"/>
    <w:rsid w:val="00BE2D01"/>
    <w:rsid w:val="00BE3CC4"/>
    <w:rsid w:val="00BE42DB"/>
    <w:rsid w:val="00BE42E2"/>
    <w:rsid w:val="00BE42F1"/>
    <w:rsid w:val="00BE5DBE"/>
    <w:rsid w:val="00BE64AF"/>
    <w:rsid w:val="00BE7C43"/>
    <w:rsid w:val="00BF0295"/>
    <w:rsid w:val="00BF116A"/>
    <w:rsid w:val="00BF19D6"/>
    <w:rsid w:val="00BF321D"/>
    <w:rsid w:val="00BF3FFE"/>
    <w:rsid w:val="00BF4A48"/>
    <w:rsid w:val="00BF4DBA"/>
    <w:rsid w:val="00BF5562"/>
    <w:rsid w:val="00BF5C6E"/>
    <w:rsid w:val="00BF68BA"/>
    <w:rsid w:val="00BF6DF0"/>
    <w:rsid w:val="00C025A0"/>
    <w:rsid w:val="00C04C4F"/>
    <w:rsid w:val="00C06936"/>
    <w:rsid w:val="00C06CE0"/>
    <w:rsid w:val="00C07417"/>
    <w:rsid w:val="00C10077"/>
    <w:rsid w:val="00C10F16"/>
    <w:rsid w:val="00C1143C"/>
    <w:rsid w:val="00C1168B"/>
    <w:rsid w:val="00C11DE9"/>
    <w:rsid w:val="00C124CB"/>
    <w:rsid w:val="00C12E9E"/>
    <w:rsid w:val="00C130E6"/>
    <w:rsid w:val="00C13CAA"/>
    <w:rsid w:val="00C13D65"/>
    <w:rsid w:val="00C141B6"/>
    <w:rsid w:val="00C178B4"/>
    <w:rsid w:val="00C17C45"/>
    <w:rsid w:val="00C20D4F"/>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282F"/>
    <w:rsid w:val="00C6305C"/>
    <w:rsid w:val="00C63D93"/>
    <w:rsid w:val="00C648EB"/>
    <w:rsid w:val="00C64E57"/>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156"/>
    <w:rsid w:val="00CA443C"/>
    <w:rsid w:val="00CA5314"/>
    <w:rsid w:val="00CA5420"/>
    <w:rsid w:val="00CB056F"/>
    <w:rsid w:val="00CB091C"/>
    <w:rsid w:val="00CB1531"/>
    <w:rsid w:val="00CB18E5"/>
    <w:rsid w:val="00CB1B5A"/>
    <w:rsid w:val="00CB20F7"/>
    <w:rsid w:val="00CB3603"/>
    <w:rsid w:val="00CB4E0B"/>
    <w:rsid w:val="00CB67E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09A9"/>
    <w:rsid w:val="00D02BD8"/>
    <w:rsid w:val="00D03D73"/>
    <w:rsid w:val="00D04220"/>
    <w:rsid w:val="00D045EA"/>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2A3C"/>
    <w:rsid w:val="00D33771"/>
    <w:rsid w:val="00D3442C"/>
    <w:rsid w:val="00D35D36"/>
    <w:rsid w:val="00D36E24"/>
    <w:rsid w:val="00D373A4"/>
    <w:rsid w:val="00D42E67"/>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068B"/>
    <w:rsid w:val="00D712A2"/>
    <w:rsid w:val="00D714D5"/>
    <w:rsid w:val="00D72210"/>
    <w:rsid w:val="00D72CAF"/>
    <w:rsid w:val="00D73237"/>
    <w:rsid w:val="00D739EF"/>
    <w:rsid w:val="00D73EA5"/>
    <w:rsid w:val="00D74383"/>
    <w:rsid w:val="00D75C75"/>
    <w:rsid w:val="00D76079"/>
    <w:rsid w:val="00D76810"/>
    <w:rsid w:val="00D76D93"/>
    <w:rsid w:val="00D814A0"/>
    <w:rsid w:val="00D83361"/>
    <w:rsid w:val="00D84C7A"/>
    <w:rsid w:val="00D85DB8"/>
    <w:rsid w:val="00D871E3"/>
    <w:rsid w:val="00D8726A"/>
    <w:rsid w:val="00D90202"/>
    <w:rsid w:val="00D90B5B"/>
    <w:rsid w:val="00D91EB0"/>
    <w:rsid w:val="00D93302"/>
    <w:rsid w:val="00D96569"/>
    <w:rsid w:val="00D96E5B"/>
    <w:rsid w:val="00D970EC"/>
    <w:rsid w:val="00D97E7A"/>
    <w:rsid w:val="00DA0E04"/>
    <w:rsid w:val="00DA13D9"/>
    <w:rsid w:val="00DA318B"/>
    <w:rsid w:val="00DA49ED"/>
    <w:rsid w:val="00DA5D6A"/>
    <w:rsid w:val="00DA7521"/>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1FA"/>
    <w:rsid w:val="00DE28D9"/>
    <w:rsid w:val="00DE29BD"/>
    <w:rsid w:val="00DE2C29"/>
    <w:rsid w:val="00DE2FAA"/>
    <w:rsid w:val="00DE31F5"/>
    <w:rsid w:val="00DE4B29"/>
    <w:rsid w:val="00DE5C55"/>
    <w:rsid w:val="00DE6674"/>
    <w:rsid w:val="00DE6A23"/>
    <w:rsid w:val="00DE75B5"/>
    <w:rsid w:val="00DE7B5C"/>
    <w:rsid w:val="00DE7E98"/>
    <w:rsid w:val="00DF0431"/>
    <w:rsid w:val="00DF05CB"/>
    <w:rsid w:val="00DF22B0"/>
    <w:rsid w:val="00DF4258"/>
    <w:rsid w:val="00DF446F"/>
    <w:rsid w:val="00DF46DF"/>
    <w:rsid w:val="00DF4DC8"/>
    <w:rsid w:val="00DF52CF"/>
    <w:rsid w:val="00DF5DCA"/>
    <w:rsid w:val="00DF76D7"/>
    <w:rsid w:val="00E008C8"/>
    <w:rsid w:val="00E00A8B"/>
    <w:rsid w:val="00E03920"/>
    <w:rsid w:val="00E03C55"/>
    <w:rsid w:val="00E03E13"/>
    <w:rsid w:val="00E04B09"/>
    <w:rsid w:val="00E05D37"/>
    <w:rsid w:val="00E05E10"/>
    <w:rsid w:val="00E06D4E"/>
    <w:rsid w:val="00E06FA6"/>
    <w:rsid w:val="00E1042D"/>
    <w:rsid w:val="00E145E9"/>
    <w:rsid w:val="00E14B7D"/>
    <w:rsid w:val="00E15319"/>
    <w:rsid w:val="00E16403"/>
    <w:rsid w:val="00E16448"/>
    <w:rsid w:val="00E21076"/>
    <w:rsid w:val="00E21973"/>
    <w:rsid w:val="00E23427"/>
    <w:rsid w:val="00E2568F"/>
    <w:rsid w:val="00E25986"/>
    <w:rsid w:val="00E25D4B"/>
    <w:rsid w:val="00E26834"/>
    <w:rsid w:val="00E27AB6"/>
    <w:rsid w:val="00E307FF"/>
    <w:rsid w:val="00E30ADD"/>
    <w:rsid w:val="00E31861"/>
    <w:rsid w:val="00E33D31"/>
    <w:rsid w:val="00E342AC"/>
    <w:rsid w:val="00E35770"/>
    <w:rsid w:val="00E35FBE"/>
    <w:rsid w:val="00E363B4"/>
    <w:rsid w:val="00E37270"/>
    <w:rsid w:val="00E40494"/>
    <w:rsid w:val="00E423FB"/>
    <w:rsid w:val="00E43427"/>
    <w:rsid w:val="00E43AF7"/>
    <w:rsid w:val="00E43B9E"/>
    <w:rsid w:val="00E45594"/>
    <w:rsid w:val="00E458F1"/>
    <w:rsid w:val="00E458F9"/>
    <w:rsid w:val="00E45D8A"/>
    <w:rsid w:val="00E4601E"/>
    <w:rsid w:val="00E46CFD"/>
    <w:rsid w:val="00E47C03"/>
    <w:rsid w:val="00E47F3D"/>
    <w:rsid w:val="00E50026"/>
    <w:rsid w:val="00E52283"/>
    <w:rsid w:val="00E5241F"/>
    <w:rsid w:val="00E52C21"/>
    <w:rsid w:val="00E5300E"/>
    <w:rsid w:val="00E5395C"/>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054"/>
    <w:rsid w:val="00E73A68"/>
    <w:rsid w:val="00E73AF3"/>
    <w:rsid w:val="00E74362"/>
    <w:rsid w:val="00E746E0"/>
    <w:rsid w:val="00E755E6"/>
    <w:rsid w:val="00E757FD"/>
    <w:rsid w:val="00E75917"/>
    <w:rsid w:val="00E75A55"/>
    <w:rsid w:val="00E77D61"/>
    <w:rsid w:val="00E83421"/>
    <w:rsid w:val="00E83F9B"/>
    <w:rsid w:val="00E85409"/>
    <w:rsid w:val="00E857AD"/>
    <w:rsid w:val="00E859D0"/>
    <w:rsid w:val="00E8603C"/>
    <w:rsid w:val="00E910A0"/>
    <w:rsid w:val="00E914E0"/>
    <w:rsid w:val="00E91879"/>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A5C38"/>
    <w:rsid w:val="00EB06CE"/>
    <w:rsid w:val="00EB1D34"/>
    <w:rsid w:val="00EB4355"/>
    <w:rsid w:val="00EB4E36"/>
    <w:rsid w:val="00EB6363"/>
    <w:rsid w:val="00EC0668"/>
    <w:rsid w:val="00EC169F"/>
    <w:rsid w:val="00EC2A54"/>
    <w:rsid w:val="00EC37CC"/>
    <w:rsid w:val="00EC4EA3"/>
    <w:rsid w:val="00EC6A52"/>
    <w:rsid w:val="00EC74BC"/>
    <w:rsid w:val="00EC79A1"/>
    <w:rsid w:val="00EC7A3C"/>
    <w:rsid w:val="00ED007E"/>
    <w:rsid w:val="00ED2BAF"/>
    <w:rsid w:val="00ED3477"/>
    <w:rsid w:val="00ED41E8"/>
    <w:rsid w:val="00ED42EA"/>
    <w:rsid w:val="00ED6D8F"/>
    <w:rsid w:val="00ED7682"/>
    <w:rsid w:val="00ED793B"/>
    <w:rsid w:val="00EE135B"/>
    <w:rsid w:val="00EE2D7F"/>
    <w:rsid w:val="00EE31CB"/>
    <w:rsid w:val="00EE3487"/>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23BD"/>
    <w:rsid w:val="00F04913"/>
    <w:rsid w:val="00F0612B"/>
    <w:rsid w:val="00F0617F"/>
    <w:rsid w:val="00F108A0"/>
    <w:rsid w:val="00F10A38"/>
    <w:rsid w:val="00F119E7"/>
    <w:rsid w:val="00F12922"/>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55F94"/>
    <w:rsid w:val="00F60E6F"/>
    <w:rsid w:val="00F612EB"/>
    <w:rsid w:val="00F6527B"/>
    <w:rsid w:val="00F66961"/>
    <w:rsid w:val="00F67E6C"/>
    <w:rsid w:val="00F70D43"/>
    <w:rsid w:val="00F72DDC"/>
    <w:rsid w:val="00F72E37"/>
    <w:rsid w:val="00F73016"/>
    <w:rsid w:val="00F73B6E"/>
    <w:rsid w:val="00F73D71"/>
    <w:rsid w:val="00F75C98"/>
    <w:rsid w:val="00F832A3"/>
    <w:rsid w:val="00F83B15"/>
    <w:rsid w:val="00F84850"/>
    <w:rsid w:val="00F84D19"/>
    <w:rsid w:val="00F85563"/>
    <w:rsid w:val="00F855C6"/>
    <w:rsid w:val="00F8608D"/>
    <w:rsid w:val="00F95FF4"/>
    <w:rsid w:val="00F96CE9"/>
    <w:rsid w:val="00F96F3A"/>
    <w:rsid w:val="00F97B5F"/>
    <w:rsid w:val="00FA0BC6"/>
    <w:rsid w:val="00FA22D0"/>
    <w:rsid w:val="00FA3D33"/>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4889"/>
    <w:rsid w:val="00FE5464"/>
    <w:rsid w:val="00FE5A3E"/>
    <w:rsid w:val="00FE654B"/>
    <w:rsid w:val="00FE6E12"/>
    <w:rsid w:val="00FE6ECB"/>
    <w:rsid w:val="00FE7F34"/>
    <w:rsid w:val="00FF0A8B"/>
    <w:rsid w:val="00FF1267"/>
    <w:rsid w:val="00FF1E41"/>
    <w:rsid w:val="00FF4372"/>
    <w:rsid w:val="00FF4BB2"/>
    <w:rsid w:val="00FF59E7"/>
    <w:rsid w:val="00FF5F97"/>
    <w:rsid w:val="00FF7257"/>
    <w:rsid w:val="00FF752A"/>
    <w:rsid w:val="00FF7BD9"/>
    <w:rsid w:val="04353C9C"/>
    <w:rsid w:val="049623F8"/>
    <w:rsid w:val="04D06D42"/>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542909"/>
    <w:rsid w:val="22624C8B"/>
    <w:rsid w:val="22F6582B"/>
    <w:rsid w:val="28A02A1B"/>
    <w:rsid w:val="29C4257F"/>
    <w:rsid w:val="2F7A734E"/>
    <w:rsid w:val="2FD97FDB"/>
    <w:rsid w:val="33940D54"/>
    <w:rsid w:val="33CE6340"/>
    <w:rsid w:val="35BD25C7"/>
    <w:rsid w:val="36576957"/>
    <w:rsid w:val="37672FB0"/>
    <w:rsid w:val="381C5B0D"/>
    <w:rsid w:val="3A891042"/>
    <w:rsid w:val="3A8F55CD"/>
    <w:rsid w:val="3B537E3D"/>
    <w:rsid w:val="3B9220C8"/>
    <w:rsid w:val="40482E6A"/>
    <w:rsid w:val="42E26497"/>
    <w:rsid w:val="44313E1C"/>
    <w:rsid w:val="463F2F6A"/>
    <w:rsid w:val="47C13C63"/>
    <w:rsid w:val="491739FA"/>
    <w:rsid w:val="4C7A73E0"/>
    <w:rsid w:val="4DDB6F48"/>
    <w:rsid w:val="4DF0361D"/>
    <w:rsid w:val="4E9F73FB"/>
    <w:rsid w:val="5172570A"/>
    <w:rsid w:val="52C771B4"/>
    <w:rsid w:val="53980F62"/>
    <w:rsid w:val="54731278"/>
    <w:rsid w:val="547B7A27"/>
    <w:rsid w:val="54E86EE4"/>
    <w:rsid w:val="55AC4B21"/>
    <w:rsid w:val="56E9380E"/>
    <w:rsid w:val="57265097"/>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62">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63">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64">
    <w:name w:val="修订10"/>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FCB8-A120-4EB6-AED8-CB33B9DEFDCC}">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16823</Words>
  <Characters>18363</Characters>
  <Lines>138</Lines>
  <Paragraphs>38</Paragraphs>
  <TotalTime>17</TotalTime>
  <ScaleCrop>false</ScaleCrop>
  <LinksUpToDate>false</LinksUpToDate>
  <CharactersWithSpaces>18383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2023-03-14T06:34:00Z</dcterms:created>
  <dc:creator>kongjian</dc:creator>
  <cp:lastModifiedBy>Administrator</cp:lastModifiedBy>
  <cp:lastPrinted>2023-03-09T06:50:00Z</cp:lastPrinted>
  <dcterms:modified xsi:type="dcterms:W3CDTF">2023-06-03T02:56:08Z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5212585243EC4FE9A170B5465A9CFC73</vt:lpwstr>
  </property>
</Properties>
</file>